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4BEB8" w14:textId="3184A72B" w:rsidR="00193F4E" w:rsidRPr="00230B09" w:rsidRDefault="00193F4E" w:rsidP="00193F4E">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Pr>
          <w:rFonts w:ascii="Arial" w:hAnsi="Arial" w:cs="Arial"/>
          <w:b/>
          <w:bCs/>
          <w:noProof/>
          <w:sz w:val="24"/>
          <w:szCs w:val="26"/>
        </w:rPr>
        <w:t xml:space="preserve">7   </w:t>
      </w:r>
      <w:r w:rsidRPr="00230B09">
        <w:rPr>
          <w:rFonts w:ascii="Arial" w:hAnsi="Arial" w:cs="Arial"/>
          <w:b/>
          <w:bCs/>
          <w:noProof/>
          <w:sz w:val="24"/>
          <w:szCs w:val="26"/>
        </w:rPr>
        <w:t xml:space="preserve">                                       R1-2</w:t>
      </w:r>
      <w:r>
        <w:rPr>
          <w:rFonts w:ascii="Arial" w:hAnsi="Arial" w:cs="Arial"/>
          <w:b/>
          <w:bCs/>
          <w:noProof/>
          <w:sz w:val="24"/>
          <w:szCs w:val="26"/>
        </w:rPr>
        <w:t>40</w:t>
      </w:r>
      <w:r w:rsidR="00870047">
        <w:rPr>
          <w:rFonts w:ascii="Arial" w:hAnsi="Arial" w:cs="Arial"/>
          <w:b/>
          <w:bCs/>
          <w:noProof/>
          <w:sz w:val="24"/>
          <w:szCs w:val="26"/>
        </w:rPr>
        <w:t>4781</w:t>
      </w:r>
    </w:p>
    <w:p w14:paraId="09056221" w14:textId="77777777" w:rsidR="00193F4E" w:rsidRPr="00D90D3F" w:rsidRDefault="00193F4E" w:rsidP="00193F4E">
      <w:pPr>
        <w:tabs>
          <w:tab w:val="left" w:pos="1985"/>
        </w:tabs>
        <w:spacing w:after="240"/>
        <w:rPr>
          <w:rFonts w:ascii="Arial" w:hAnsi="Arial" w:cs="Arial"/>
          <w:b/>
          <w:bCs/>
          <w:noProof/>
          <w:sz w:val="24"/>
          <w:szCs w:val="26"/>
        </w:rPr>
      </w:pPr>
      <w:r w:rsidRPr="00C2615D">
        <w:rPr>
          <w:rFonts w:ascii="Arial" w:hAnsi="Arial" w:cs="Arial"/>
          <w:b/>
          <w:bCs/>
          <w:noProof/>
          <w:sz w:val="24"/>
          <w:szCs w:val="26"/>
        </w:rPr>
        <w:t xml:space="preserve">Fukuoka City, Fukuoka, Japan, May </w:t>
      </w:r>
      <w:r>
        <w:rPr>
          <w:rFonts w:ascii="Arial" w:hAnsi="Arial" w:cs="Arial"/>
          <w:b/>
          <w:bCs/>
          <w:noProof/>
          <w:sz w:val="24"/>
          <w:szCs w:val="26"/>
        </w:rPr>
        <w:t>20</w:t>
      </w:r>
      <w:r w:rsidRPr="00C2615D">
        <w:rPr>
          <w:rFonts w:ascii="Arial" w:hAnsi="Arial" w:cs="Arial"/>
          <w:b/>
          <w:bCs/>
          <w:noProof/>
          <w:sz w:val="24"/>
          <w:szCs w:val="26"/>
          <w:vertAlign w:val="superscript"/>
        </w:rPr>
        <w:t>th</w:t>
      </w:r>
      <w:r w:rsidRPr="00C2615D">
        <w:rPr>
          <w:rFonts w:ascii="Arial" w:hAnsi="Arial" w:cs="Arial"/>
          <w:b/>
          <w:bCs/>
          <w:noProof/>
          <w:sz w:val="24"/>
          <w:szCs w:val="26"/>
        </w:rPr>
        <w:t xml:space="preserve"> – 2</w:t>
      </w:r>
      <w:r>
        <w:rPr>
          <w:rFonts w:ascii="Arial" w:hAnsi="Arial" w:cs="Arial"/>
          <w:b/>
          <w:bCs/>
          <w:noProof/>
          <w:sz w:val="24"/>
          <w:szCs w:val="26"/>
        </w:rPr>
        <w:t>4</w:t>
      </w:r>
      <w:r w:rsidRPr="00C2615D">
        <w:rPr>
          <w:rFonts w:ascii="Arial" w:hAnsi="Arial" w:cs="Arial"/>
          <w:b/>
          <w:bCs/>
          <w:noProof/>
          <w:sz w:val="24"/>
          <w:szCs w:val="26"/>
          <w:vertAlign w:val="superscript"/>
        </w:rPr>
        <w:t>th</w:t>
      </w:r>
      <w:r w:rsidRPr="00C2615D">
        <w:rPr>
          <w:rFonts w:ascii="Arial" w:hAnsi="Arial" w:cs="Arial"/>
          <w:b/>
          <w:bCs/>
          <w:noProof/>
          <w:sz w:val="24"/>
          <w:szCs w:val="26"/>
        </w:rPr>
        <w:t>, 2024</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05D10AD0"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B63493">
        <w:rPr>
          <w:rFonts w:ascii="Arial" w:hAnsi="Arial" w:cs="Arial"/>
          <w:b/>
          <w:sz w:val="24"/>
          <w:szCs w:val="26"/>
          <w:lang w:val="en-US"/>
        </w:rPr>
        <w:t>A</w:t>
      </w:r>
      <w:r w:rsidR="00F72159">
        <w:rPr>
          <w:rFonts w:ascii="Arial" w:hAnsi="Arial" w:cs="Arial"/>
          <w:b/>
          <w:sz w:val="24"/>
          <w:szCs w:val="26"/>
          <w:lang w:val="en-US"/>
        </w:rPr>
        <w:t>daptation of common signal/channel transmissions</w:t>
      </w:r>
      <w:r w:rsidR="00B63493">
        <w:rPr>
          <w:rFonts w:ascii="Arial" w:hAnsi="Arial" w:cs="Arial"/>
          <w:b/>
          <w:sz w:val="24"/>
          <w:szCs w:val="26"/>
          <w:lang w:val="en-US"/>
        </w:rPr>
        <w:t xml:space="preserve"> for NES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91B3A1A" w14:textId="6C05D6DD" w:rsidR="00987CC7" w:rsidRDefault="00987CC7" w:rsidP="00987CC7">
      <w:bookmarkStart w:id="4" w:name="_Hlk163037690"/>
      <w:r w:rsidRPr="00CA3186">
        <w:rPr>
          <w:rFonts w:hint="eastAsia"/>
        </w:rPr>
        <w:t>N</w:t>
      </w:r>
      <w:r w:rsidRPr="00CA3186">
        <w:t>ormative work for Rel-19 NES WI begun in RAN1#116bi</w:t>
      </w:r>
      <w:r>
        <w:t>s</w:t>
      </w:r>
      <w:r w:rsidRPr="00CA3186">
        <w:t xml:space="preserve">. Regarding </w:t>
      </w:r>
      <w:r>
        <w:rPr>
          <w:rFonts w:hint="eastAsia"/>
        </w:rPr>
        <w:t>a</w:t>
      </w:r>
      <w:r>
        <w:t>daptation of common signal/channel transmissions,</w:t>
      </w:r>
      <w:r w:rsidRPr="00CA3186">
        <w:t xml:space="preserve"> the following agreements were made </w:t>
      </w:r>
      <w:r>
        <w:t>in the last meeting</w:t>
      </w:r>
      <w:r w:rsidRPr="00CA3186">
        <w:t xml:space="preserve"> [1].</w:t>
      </w:r>
    </w:p>
    <w:bookmarkEnd w:id="4"/>
    <w:p w14:paraId="012D471F" w14:textId="77777777" w:rsidR="00860FE2" w:rsidRPr="00BF5BD7" w:rsidRDefault="00860FE2" w:rsidP="00860FE2">
      <w:pPr>
        <w:spacing w:after="0"/>
        <w:rPr>
          <w:b/>
          <w:bCs/>
          <w:highlight w:val="green"/>
          <w:lang w:eastAsia="x-none"/>
        </w:rPr>
      </w:pPr>
      <w:r w:rsidRPr="00BF5BD7">
        <w:rPr>
          <w:b/>
          <w:bCs/>
          <w:highlight w:val="green"/>
          <w:lang w:eastAsia="x-none"/>
        </w:rPr>
        <w:t>Agreement</w:t>
      </w:r>
    </w:p>
    <w:p w14:paraId="410E1A39" w14:textId="77777777" w:rsidR="00860FE2" w:rsidRPr="005B303B" w:rsidRDefault="00860FE2" w:rsidP="00860FE2">
      <w:pPr>
        <w:suppressAutoHyphens/>
        <w:spacing w:after="0"/>
        <w:rPr>
          <w:lang w:eastAsia="x-none"/>
        </w:rPr>
      </w:pPr>
      <w:r w:rsidRPr="005B303B">
        <w:rPr>
          <w:lang w:eastAsia="x-none"/>
        </w:rPr>
        <w:t xml:space="preserve">For indication of adaptation of SSB in time-domain, </w:t>
      </w:r>
    </w:p>
    <w:p w14:paraId="5510CBC2" w14:textId="77777777" w:rsidR="00860FE2" w:rsidRPr="005B303B" w:rsidRDefault="00860FE2" w:rsidP="00860FE2">
      <w:pPr>
        <w:widowControl/>
        <w:numPr>
          <w:ilvl w:val="0"/>
          <w:numId w:val="15"/>
        </w:numPr>
        <w:suppressAutoHyphens/>
        <w:autoSpaceDE/>
        <w:autoSpaceDN/>
        <w:spacing w:after="0"/>
        <w:jc w:val="left"/>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trigger</w:t>
      </w:r>
    </w:p>
    <w:p w14:paraId="0065A89F" w14:textId="77777777" w:rsidR="00860FE2" w:rsidRDefault="00860FE2" w:rsidP="00860FE2">
      <w:pPr>
        <w:spacing w:after="0"/>
        <w:rPr>
          <w:lang w:eastAsia="x-none"/>
        </w:rPr>
      </w:pPr>
    </w:p>
    <w:p w14:paraId="4F08A345" w14:textId="77777777" w:rsidR="00860FE2" w:rsidRPr="00BF5BD7" w:rsidRDefault="00860FE2" w:rsidP="00860FE2">
      <w:pPr>
        <w:spacing w:after="0"/>
        <w:rPr>
          <w:b/>
          <w:bCs/>
          <w:highlight w:val="green"/>
          <w:lang w:eastAsia="x-none"/>
        </w:rPr>
      </w:pPr>
      <w:r w:rsidRPr="00BF5BD7">
        <w:rPr>
          <w:b/>
          <w:bCs/>
          <w:highlight w:val="green"/>
          <w:lang w:eastAsia="x-none"/>
        </w:rPr>
        <w:t>Agreement</w:t>
      </w:r>
    </w:p>
    <w:p w14:paraId="196C60B7" w14:textId="77777777" w:rsidR="00860FE2" w:rsidRPr="0063337B" w:rsidRDefault="00860FE2" w:rsidP="00860FE2">
      <w:pPr>
        <w:pStyle w:val="aa"/>
        <w:spacing w:after="0"/>
      </w:pPr>
      <w:r w:rsidRPr="0063337B">
        <w:t xml:space="preserve">For adaptation of PRACH in time-domain, support at least the following: </w:t>
      </w:r>
    </w:p>
    <w:p w14:paraId="6DC70D5E" w14:textId="77777777" w:rsidR="00860FE2" w:rsidRPr="0063337B" w:rsidRDefault="00860FE2" w:rsidP="00860FE2">
      <w:pPr>
        <w:pStyle w:val="aa"/>
        <w:numPr>
          <w:ilvl w:val="0"/>
          <w:numId w:val="15"/>
        </w:numPr>
        <w:spacing w:after="0"/>
      </w:pPr>
      <w:r w:rsidRPr="0063337B">
        <w:t>Adaptation based on additional</w:t>
      </w:r>
      <w:r>
        <w:t xml:space="preserve"> </w:t>
      </w:r>
      <w:r w:rsidRPr="0063337B">
        <w:t xml:space="preserve">PRACH resources for NES-capable UEs in addition to PRACH resources for legacy UEs </w:t>
      </w:r>
      <w:r>
        <w:t>(if any)</w:t>
      </w:r>
    </w:p>
    <w:p w14:paraId="0858B488" w14:textId="77777777" w:rsidR="00860FE2" w:rsidRDefault="00860FE2" w:rsidP="00860FE2">
      <w:pPr>
        <w:pStyle w:val="aa"/>
        <w:numPr>
          <w:ilvl w:val="1"/>
          <w:numId w:val="7"/>
        </w:numPr>
        <w:spacing w:after="0"/>
        <w:ind w:left="1080"/>
      </w:pPr>
      <w:r w:rsidRPr="0063337B">
        <w:t>Note: NES-capable UEs can use both additional PRACH resources and PRACH resources for legacy UEs</w:t>
      </w:r>
    </w:p>
    <w:p w14:paraId="4E126FBD" w14:textId="77777777" w:rsidR="00860FE2" w:rsidRDefault="00860FE2" w:rsidP="00860FE2">
      <w:pPr>
        <w:pStyle w:val="aa"/>
        <w:numPr>
          <w:ilvl w:val="1"/>
          <w:numId w:val="7"/>
        </w:numPr>
        <w:spacing w:after="0"/>
        <w:ind w:left="1080"/>
      </w:pPr>
      <w:r>
        <w:t>Configuration of additional PRACH resources is provided by semi-static signalling</w:t>
      </w:r>
    </w:p>
    <w:p w14:paraId="3455978D" w14:textId="77777777" w:rsidR="00860FE2" w:rsidRDefault="00860FE2" w:rsidP="00860FE2">
      <w:pPr>
        <w:pStyle w:val="aa"/>
        <w:numPr>
          <w:ilvl w:val="2"/>
          <w:numId w:val="7"/>
        </w:numPr>
        <w:spacing w:after="0"/>
        <w:ind w:left="1800"/>
      </w:pPr>
      <w:r>
        <w:t>FFS: details including whether there is overlap of additional PRACH resources and PRACH resources for legacy UEs</w:t>
      </w:r>
    </w:p>
    <w:p w14:paraId="52A3D9A8" w14:textId="77777777" w:rsidR="00860FE2" w:rsidRDefault="00860FE2" w:rsidP="00860FE2">
      <w:pPr>
        <w:pStyle w:val="aa"/>
        <w:numPr>
          <w:ilvl w:val="1"/>
          <w:numId w:val="7"/>
        </w:numPr>
        <w:spacing w:after="0"/>
        <w:ind w:left="1080"/>
      </w:pPr>
      <w:r>
        <w:t>FFS: adaptation mechanism for additional PRACH resources</w:t>
      </w:r>
    </w:p>
    <w:p w14:paraId="72E1EF46" w14:textId="77777777" w:rsidR="00860FE2" w:rsidRPr="00AB02C2" w:rsidRDefault="00860FE2" w:rsidP="00860FE2">
      <w:pPr>
        <w:pStyle w:val="aa"/>
        <w:numPr>
          <w:ilvl w:val="1"/>
          <w:numId w:val="7"/>
        </w:numPr>
        <w:spacing w:after="0"/>
        <w:ind w:left="1080"/>
      </w:pPr>
      <w:r w:rsidRPr="00A86B42">
        <w:t>Note:</w:t>
      </w:r>
      <w:r w:rsidRPr="0035359E">
        <w:t xml:space="preserve"> No change to the existing PRACH configuration tables in 38.211</w:t>
      </w:r>
    </w:p>
    <w:p w14:paraId="60A54A30" w14:textId="77777777" w:rsidR="00860FE2" w:rsidRDefault="00860FE2" w:rsidP="00860FE2">
      <w:pPr>
        <w:spacing w:after="0"/>
        <w:rPr>
          <w:lang w:eastAsia="x-none"/>
        </w:rPr>
      </w:pPr>
    </w:p>
    <w:p w14:paraId="401BF3B8" w14:textId="77777777" w:rsidR="00860FE2" w:rsidRPr="00BF5BD7" w:rsidRDefault="00860FE2" w:rsidP="00860FE2">
      <w:pPr>
        <w:spacing w:after="0"/>
        <w:rPr>
          <w:b/>
          <w:bCs/>
          <w:highlight w:val="green"/>
          <w:lang w:eastAsia="x-none"/>
        </w:rPr>
      </w:pPr>
      <w:r w:rsidRPr="00BF5BD7">
        <w:rPr>
          <w:b/>
          <w:bCs/>
          <w:highlight w:val="green"/>
          <w:lang w:eastAsia="x-none"/>
        </w:rPr>
        <w:t>Agreement</w:t>
      </w:r>
    </w:p>
    <w:p w14:paraId="0B61C359" w14:textId="77777777" w:rsidR="00860FE2" w:rsidRPr="0063337B" w:rsidRDefault="00860FE2" w:rsidP="00860FE2">
      <w:pPr>
        <w:pStyle w:val="aa"/>
        <w:spacing w:after="0"/>
      </w:pPr>
      <w:r w:rsidRPr="0063337B">
        <w:t xml:space="preserve">For adaptation of PRACH in time-domain, support the following: </w:t>
      </w:r>
    </w:p>
    <w:p w14:paraId="408FD738" w14:textId="77777777" w:rsidR="00860FE2" w:rsidRDefault="00860FE2" w:rsidP="00860FE2">
      <w:pPr>
        <w:pStyle w:val="aa"/>
        <w:numPr>
          <w:ilvl w:val="0"/>
          <w:numId w:val="15"/>
        </w:numPr>
        <w:spacing w:after="0"/>
      </w:pPr>
      <w:r w:rsidRPr="0063337B">
        <w:t xml:space="preserve">SSB-RO mapping for the additional PRACH resources </w:t>
      </w:r>
      <w:r>
        <w:t>is separate from the SSB-RO mapping of</w:t>
      </w:r>
      <w:r w:rsidRPr="0063337B">
        <w:t xml:space="preserve"> the PRACH resources for legacy UEs (if any)</w:t>
      </w:r>
    </w:p>
    <w:p w14:paraId="6940476C" w14:textId="77777777" w:rsidR="00860FE2" w:rsidRDefault="00860FE2" w:rsidP="00860FE2">
      <w:pPr>
        <w:pStyle w:val="aa"/>
        <w:numPr>
          <w:ilvl w:val="1"/>
          <w:numId w:val="7"/>
        </w:numPr>
        <w:spacing w:after="0"/>
        <w:ind w:left="1080"/>
      </w:pPr>
      <w:r>
        <w:t>FFS: whether/how to handle SSB-RO mapping if the additional PRACH resources overlap in both time and frequency with the PRACH resources for legacy UEs</w:t>
      </w:r>
    </w:p>
    <w:p w14:paraId="6200F065" w14:textId="77777777" w:rsidR="00860FE2" w:rsidRDefault="00860FE2" w:rsidP="00860FE2">
      <w:pPr>
        <w:pStyle w:val="aa"/>
        <w:numPr>
          <w:ilvl w:val="1"/>
          <w:numId w:val="7"/>
        </w:numPr>
        <w:spacing w:after="0"/>
        <w:ind w:left="1080"/>
      </w:pPr>
      <w:r>
        <w:t>Note:</w:t>
      </w:r>
      <w:r w:rsidRPr="00CD0647">
        <w:t xml:space="preserve"> </w:t>
      </w:r>
      <w:r>
        <w:t>SSB-RO mapping of</w:t>
      </w:r>
      <w:r w:rsidRPr="0063337B">
        <w:t xml:space="preserve"> the PRACH resources for legacy UEs</w:t>
      </w:r>
      <w:r>
        <w:t xml:space="preserve"> is not impacted if Rel-19 UE uses these PRACH resources</w:t>
      </w:r>
    </w:p>
    <w:p w14:paraId="59133DB0" w14:textId="77777777" w:rsidR="00860FE2" w:rsidRPr="0063337B" w:rsidRDefault="00860FE2" w:rsidP="00860FE2">
      <w:pPr>
        <w:pStyle w:val="aa"/>
        <w:numPr>
          <w:ilvl w:val="1"/>
          <w:numId w:val="7"/>
        </w:numPr>
        <w:spacing w:after="0"/>
        <w:ind w:left="1080"/>
      </w:pPr>
      <w:r>
        <w:t xml:space="preserve">FFS: SSB-RO mapping for the additional PRACH resources </w:t>
      </w:r>
    </w:p>
    <w:p w14:paraId="52327176" w14:textId="77777777" w:rsidR="00860FE2" w:rsidRDefault="00860FE2" w:rsidP="00860FE2">
      <w:pPr>
        <w:spacing w:after="0"/>
        <w:rPr>
          <w:lang w:eastAsia="x-none"/>
        </w:rPr>
      </w:pPr>
    </w:p>
    <w:p w14:paraId="7437A49D" w14:textId="77777777" w:rsidR="00860FE2" w:rsidRPr="00BF5BD7" w:rsidRDefault="00860FE2" w:rsidP="00860FE2">
      <w:pPr>
        <w:spacing w:after="0"/>
        <w:rPr>
          <w:b/>
          <w:bCs/>
          <w:highlight w:val="green"/>
          <w:lang w:eastAsia="x-none"/>
        </w:rPr>
      </w:pPr>
      <w:r w:rsidRPr="00BF5BD7">
        <w:rPr>
          <w:b/>
          <w:bCs/>
          <w:highlight w:val="green"/>
          <w:lang w:eastAsia="x-none"/>
        </w:rPr>
        <w:t>Agreement</w:t>
      </w:r>
    </w:p>
    <w:p w14:paraId="15B318B1" w14:textId="77777777" w:rsidR="00860FE2" w:rsidRPr="008A774B" w:rsidRDefault="00860FE2" w:rsidP="00860FE2">
      <w:pPr>
        <w:pStyle w:val="aa"/>
        <w:spacing w:after="0"/>
      </w:pPr>
      <w:r>
        <w:t>Support</w:t>
      </w:r>
      <w:r w:rsidRPr="008A774B">
        <w:t xml:space="preserve"> adaptation mechanisms of </w:t>
      </w:r>
      <w:r>
        <w:t>PRACH</w:t>
      </w:r>
      <w:r w:rsidRPr="008A774B">
        <w:t xml:space="preserve"> in time-domain</w:t>
      </w:r>
      <w:r>
        <w:t xml:space="preserve"> for following:  </w:t>
      </w:r>
      <w:r w:rsidRPr="008A774B">
        <w:t xml:space="preserve"> </w:t>
      </w:r>
    </w:p>
    <w:p w14:paraId="12C7094F" w14:textId="77777777" w:rsidR="00860FE2" w:rsidRDefault="00860FE2" w:rsidP="00860FE2">
      <w:pPr>
        <w:pStyle w:val="aa"/>
        <w:numPr>
          <w:ilvl w:val="0"/>
          <w:numId w:val="7"/>
        </w:numPr>
        <w:spacing w:after="0"/>
      </w:pPr>
      <w:r>
        <w:t>UE in i</w:t>
      </w:r>
      <w:r w:rsidRPr="008A774B">
        <w:t xml:space="preserve">dle/inactive </w:t>
      </w:r>
      <w:r>
        <w:t>mode</w:t>
      </w:r>
    </w:p>
    <w:p w14:paraId="78BCC85A" w14:textId="77777777" w:rsidR="00860FE2" w:rsidRDefault="00860FE2" w:rsidP="00860FE2">
      <w:pPr>
        <w:pStyle w:val="aa"/>
        <w:numPr>
          <w:ilvl w:val="0"/>
          <w:numId w:val="7"/>
        </w:numPr>
        <w:spacing w:after="0"/>
      </w:pPr>
      <w:r>
        <w:t>UE in c</w:t>
      </w:r>
      <w:r w:rsidRPr="008A774B">
        <w:t>onnected mode</w:t>
      </w:r>
    </w:p>
    <w:p w14:paraId="7D5F2EC9" w14:textId="77777777" w:rsidR="00860FE2" w:rsidRDefault="00860FE2" w:rsidP="00860FE2">
      <w:pPr>
        <w:spacing w:after="0"/>
        <w:rPr>
          <w:lang w:eastAsia="x-none"/>
        </w:rPr>
      </w:pPr>
    </w:p>
    <w:p w14:paraId="7111489E" w14:textId="77777777" w:rsidR="00860FE2" w:rsidRPr="004E2706" w:rsidRDefault="00860FE2" w:rsidP="00860FE2">
      <w:pPr>
        <w:spacing w:after="0"/>
        <w:rPr>
          <w:b/>
          <w:bCs/>
          <w:szCs w:val="20"/>
          <w:highlight w:val="green"/>
          <w:lang w:eastAsia="x-none"/>
        </w:rPr>
      </w:pPr>
      <w:r>
        <w:rPr>
          <w:b/>
          <w:bCs/>
          <w:szCs w:val="20"/>
          <w:highlight w:val="green"/>
          <w:lang w:eastAsia="x-none"/>
        </w:rPr>
        <w:t>Agreement</w:t>
      </w:r>
    </w:p>
    <w:p w14:paraId="3F1BBF46" w14:textId="77777777" w:rsidR="00860FE2" w:rsidRPr="004E2706" w:rsidRDefault="00860FE2" w:rsidP="00860FE2">
      <w:pPr>
        <w:pStyle w:val="aa"/>
        <w:spacing w:after="0"/>
      </w:pPr>
      <w:r w:rsidRPr="004E2706">
        <w:t xml:space="preserve">Adaptation mechanism(s) of SSB in time-domain is supported at least for one of the following scenario(s): </w:t>
      </w:r>
    </w:p>
    <w:p w14:paraId="2685AD3C" w14:textId="2D0B138D" w:rsidR="00860FE2" w:rsidRPr="004E2706" w:rsidRDefault="00187F4C" w:rsidP="00860FE2">
      <w:pPr>
        <w:pStyle w:val="aa"/>
        <w:numPr>
          <w:ilvl w:val="0"/>
          <w:numId w:val="7"/>
        </w:numPr>
        <w:spacing w:after="0"/>
      </w:pPr>
      <w:r w:rsidRPr="004E2706">
        <w:t>For cell with both legacy UEs and Rel-19 NES-capable UEs</w:t>
      </w:r>
      <w:r w:rsidR="00860FE2" w:rsidRPr="004E2706">
        <w:t xml:space="preserve"> </w:t>
      </w:r>
    </w:p>
    <w:p w14:paraId="7153913D" w14:textId="77777777" w:rsidR="00860FE2" w:rsidRPr="004E2706" w:rsidRDefault="00860FE2" w:rsidP="00860FE2">
      <w:pPr>
        <w:pStyle w:val="aa"/>
        <w:numPr>
          <w:ilvl w:val="1"/>
          <w:numId w:val="7"/>
        </w:numPr>
        <w:spacing w:after="0"/>
      </w:pPr>
      <w:r w:rsidRPr="004E2706">
        <w:t xml:space="preserve">Rel-19 NES-capable UE’s </w:t>
      </w:r>
      <w:proofErr w:type="spellStart"/>
      <w:r w:rsidRPr="004E2706">
        <w:t>PCell</w:t>
      </w:r>
      <w:proofErr w:type="spellEnd"/>
      <w:r w:rsidRPr="004E2706">
        <w:t xml:space="preserve"> (Connected mode) </w:t>
      </w:r>
    </w:p>
    <w:p w14:paraId="2DF7C513" w14:textId="77777777" w:rsidR="00860FE2" w:rsidRPr="004E2706" w:rsidRDefault="00860FE2" w:rsidP="00860FE2">
      <w:pPr>
        <w:pStyle w:val="aa"/>
        <w:numPr>
          <w:ilvl w:val="2"/>
          <w:numId w:val="7"/>
        </w:numPr>
        <w:spacing w:after="0"/>
      </w:pPr>
      <w:r w:rsidRPr="004E2706">
        <w:t>Study from the following options:</w:t>
      </w:r>
    </w:p>
    <w:p w14:paraId="155043BF" w14:textId="77777777" w:rsidR="00860FE2" w:rsidRPr="004E2706" w:rsidRDefault="00860FE2" w:rsidP="00860FE2">
      <w:pPr>
        <w:pStyle w:val="aa"/>
        <w:numPr>
          <w:ilvl w:val="3"/>
          <w:numId w:val="7"/>
        </w:numPr>
        <w:spacing w:after="0"/>
      </w:pPr>
      <w:r w:rsidRPr="004E2706">
        <w:t>Option A1: adaptation for CD-SSB</w:t>
      </w:r>
    </w:p>
    <w:p w14:paraId="4343A1B2" w14:textId="77777777" w:rsidR="00860FE2" w:rsidRPr="004E2706" w:rsidRDefault="00860FE2" w:rsidP="00860FE2">
      <w:pPr>
        <w:pStyle w:val="aa"/>
        <w:numPr>
          <w:ilvl w:val="3"/>
          <w:numId w:val="7"/>
        </w:numPr>
        <w:spacing w:after="0"/>
      </w:pPr>
      <w:r w:rsidRPr="004E2706">
        <w:t>Option A2: adaptation for SSB that is not CD-SSB</w:t>
      </w:r>
    </w:p>
    <w:p w14:paraId="149F030E" w14:textId="77777777" w:rsidR="00860FE2" w:rsidRPr="004E2706" w:rsidRDefault="00860FE2" w:rsidP="00860FE2">
      <w:pPr>
        <w:pStyle w:val="aa"/>
        <w:numPr>
          <w:ilvl w:val="3"/>
          <w:numId w:val="7"/>
        </w:numPr>
        <w:spacing w:after="0"/>
      </w:pPr>
      <w:bookmarkStart w:id="5" w:name="_Hlk164286497"/>
      <w:r w:rsidRPr="004E2706">
        <w:lastRenderedPageBreak/>
        <w:t>Option A3: adaptation for SSB not on sync raster</w:t>
      </w:r>
    </w:p>
    <w:bookmarkEnd w:id="5"/>
    <w:p w14:paraId="3344FE50" w14:textId="77777777" w:rsidR="00860FE2" w:rsidRPr="004E2706" w:rsidRDefault="00860FE2" w:rsidP="00860FE2">
      <w:pPr>
        <w:pStyle w:val="aa"/>
        <w:numPr>
          <w:ilvl w:val="1"/>
          <w:numId w:val="7"/>
        </w:numPr>
        <w:spacing w:after="0"/>
      </w:pPr>
      <w:r w:rsidRPr="004E2706">
        <w:t xml:space="preserve">Rel-19 NES-capable UE’s </w:t>
      </w:r>
      <w:proofErr w:type="spellStart"/>
      <w:r w:rsidRPr="004E2706">
        <w:t>SCell</w:t>
      </w:r>
      <w:proofErr w:type="spellEnd"/>
      <w:r w:rsidRPr="004E2706">
        <w:t xml:space="preserve"> </w:t>
      </w:r>
    </w:p>
    <w:p w14:paraId="78DD0ED0" w14:textId="77777777" w:rsidR="00860FE2" w:rsidRPr="004E2706" w:rsidRDefault="00860FE2" w:rsidP="00860FE2">
      <w:pPr>
        <w:pStyle w:val="aa"/>
        <w:numPr>
          <w:ilvl w:val="2"/>
          <w:numId w:val="7"/>
        </w:numPr>
        <w:spacing w:after="0"/>
      </w:pPr>
      <w:r w:rsidRPr="004E2706">
        <w:t>Study from the following options:</w:t>
      </w:r>
    </w:p>
    <w:p w14:paraId="538E33E7" w14:textId="77777777" w:rsidR="00860FE2" w:rsidRPr="004E2706" w:rsidRDefault="00860FE2" w:rsidP="00860FE2">
      <w:pPr>
        <w:pStyle w:val="aa"/>
        <w:numPr>
          <w:ilvl w:val="3"/>
          <w:numId w:val="7"/>
        </w:numPr>
        <w:spacing w:after="0"/>
      </w:pPr>
      <w:r w:rsidRPr="004E2706">
        <w:t>Option B1: adaptation for CD-SSB</w:t>
      </w:r>
    </w:p>
    <w:p w14:paraId="116A05F4" w14:textId="77777777" w:rsidR="00860FE2" w:rsidRPr="004E2706" w:rsidRDefault="00860FE2" w:rsidP="00860FE2">
      <w:pPr>
        <w:pStyle w:val="aa"/>
        <w:numPr>
          <w:ilvl w:val="3"/>
          <w:numId w:val="7"/>
        </w:numPr>
        <w:spacing w:after="0"/>
      </w:pPr>
      <w:r w:rsidRPr="004E2706">
        <w:t>Option B2: adaptation for SSB that is not CD-SSB</w:t>
      </w:r>
    </w:p>
    <w:p w14:paraId="2B731DBC" w14:textId="77777777" w:rsidR="00860FE2" w:rsidRPr="004E2706" w:rsidRDefault="00860FE2" w:rsidP="00860FE2">
      <w:pPr>
        <w:pStyle w:val="aa"/>
        <w:numPr>
          <w:ilvl w:val="3"/>
          <w:numId w:val="7"/>
        </w:numPr>
        <w:spacing w:after="0"/>
      </w:pPr>
      <w:r w:rsidRPr="004E2706">
        <w:t>Option B3: adaptation for SSB not on sync raster</w:t>
      </w:r>
    </w:p>
    <w:p w14:paraId="7A4882B2" w14:textId="77777777" w:rsidR="00860FE2" w:rsidRPr="004E2706" w:rsidRDefault="00860FE2" w:rsidP="00860FE2">
      <w:pPr>
        <w:pStyle w:val="aa"/>
        <w:numPr>
          <w:ilvl w:val="1"/>
          <w:numId w:val="7"/>
        </w:numPr>
        <w:spacing w:after="0"/>
      </w:pPr>
      <w:r w:rsidRPr="004E2706">
        <w:t>FFS: Rel-19 NES-capable UE in idle/inactive mode</w:t>
      </w:r>
    </w:p>
    <w:p w14:paraId="4ACAD8DB" w14:textId="42604F00" w:rsidR="00860FE2" w:rsidRPr="004E2706" w:rsidRDefault="00860FE2" w:rsidP="00860FE2">
      <w:pPr>
        <w:pStyle w:val="aa"/>
        <w:numPr>
          <w:ilvl w:val="0"/>
          <w:numId w:val="7"/>
        </w:numPr>
        <w:spacing w:after="180"/>
        <w:ind w:left="714" w:hanging="357"/>
      </w:pPr>
      <w:r w:rsidRPr="004E2706">
        <w:t>Note: Impact to idle/inactive UEs shall be minimized</w:t>
      </w:r>
    </w:p>
    <w:p w14:paraId="24EF677E" w14:textId="1044B849" w:rsidR="009C5081" w:rsidRPr="00860FE2" w:rsidRDefault="009C5081" w:rsidP="00C02370"/>
    <w:p w14:paraId="375E7E9E" w14:textId="351AA727" w:rsidR="00193F4E" w:rsidRDefault="003720CD" w:rsidP="00C02370">
      <w:r>
        <w:rPr>
          <w:rFonts w:hint="eastAsia"/>
        </w:rPr>
        <w:t>R</w:t>
      </w:r>
      <w:r>
        <w:t>AN2 had also started discussion for Rel-19 NES, and regarding the paging adaptation they made the following agreements in RAN2#125bis [2]:</w:t>
      </w:r>
    </w:p>
    <w:tbl>
      <w:tblPr>
        <w:tblStyle w:val="a9"/>
        <w:tblW w:w="0" w:type="auto"/>
        <w:tblLook w:val="04A0" w:firstRow="1" w:lastRow="0" w:firstColumn="1" w:lastColumn="0" w:noHBand="0" w:noVBand="1"/>
      </w:tblPr>
      <w:tblGrid>
        <w:gridCol w:w="9288"/>
      </w:tblGrid>
      <w:tr w:rsidR="00193F4E" w14:paraId="6CD160D5" w14:textId="77777777" w:rsidTr="00193F4E">
        <w:tc>
          <w:tcPr>
            <w:tcW w:w="9288" w:type="dxa"/>
          </w:tcPr>
          <w:p w14:paraId="72D48382" w14:textId="77777777" w:rsidR="00193F4E" w:rsidRPr="00193F4E" w:rsidRDefault="00193F4E" w:rsidP="00193F4E">
            <w:pPr>
              <w:spacing w:after="0"/>
              <w:rPr>
                <w:b/>
                <w:lang w:val="en-US"/>
              </w:rPr>
            </w:pPr>
            <w:r w:rsidRPr="00193F4E">
              <w:rPr>
                <w:b/>
                <w:lang w:val="en-US"/>
              </w:rPr>
              <w:t>Agreements on paging adaptation:</w:t>
            </w:r>
          </w:p>
          <w:p w14:paraId="5DC5F8CD" w14:textId="2EF22855" w:rsidR="00193F4E" w:rsidRPr="00193F4E" w:rsidRDefault="00193F4E" w:rsidP="00193F4E">
            <w:pPr>
              <w:spacing w:after="0"/>
              <w:rPr>
                <w:lang w:val="en-US"/>
              </w:rPr>
            </w:pPr>
            <w:r w:rsidRPr="00193F4E">
              <w:rPr>
                <w:lang w:val="en-US"/>
              </w:rPr>
              <w:t>1.</w:t>
            </w:r>
            <w:r>
              <w:rPr>
                <w:lang w:val="en-US"/>
              </w:rPr>
              <w:t xml:space="preserve"> </w:t>
            </w:r>
            <w:r w:rsidRPr="00193F4E">
              <w:rPr>
                <w:lang w:val="en-US"/>
              </w:rPr>
              <w:t>From the UE point of view, UE will monitor one PEI/PO every paging DRX cycle, i.e. the UE doesn’t skip PO in paging DRX cycle.</w:t>
            </w:r>
          </w:p>
          <w:p w14:paraId="0EE6C3F1" w14:textId="38986A97" w:rsidR="00193F4E" w:rsidRPr="00193F4E" w:rsidRDefault="00193F4E" w:rsidP="00193F4E">
            <w:pPr>
              <w:spacing w:after="0"/>
              <w:rPr>
                <w:lang w:val="en-US"/>
              </w:rPr>
            </w:pPr>
            <w:r w:rsidRPr="00193F4E">
              <w:rPr>
                <w:lang w:val="en-US"/>
              </w:rPr>
              <w:t>2.</w:t>
            </w:r>
            <w:r>
              <w:rPr>
                <w:lang w:val="en-US"/>
              </w:rPr>
              <w:t xml:space="preserve"> </w:t>
            </w:r>
            <w:r w:rsidRPr="00193F4E">
              <w:rPr>
                <w:lang w:val="en-US"/>
              </w:rPr>
              <w:t>For adaptation of paging occasions in time domain, RAN2 to study a) bundle paging frames and b) extend the values of N to have increased interval between PFs (e.g. T/64, T/128 ...) and compensating decrease in number of PFs by increasing POs per PF.</w:t>
            </w:r>
          </w:p>
          <w:p w14:paraId="45F7A481" w14:textId="44F1E2E8" w:rsidR="00193F4E" w:rsidRPr="00193F4E" w:rsidRDefault="00193F4E" w:rsidP="00193F4E">
            <w:pPr>
              <w:spacing w:after="0"/>
              <w:rPr>
                <w:lang w:val="en-US"/>
              </w:rPr>
            </w:pPr>
            <w:r w:rsidRPr="00193F4E">
              <w:rPr>
                <w:lang w:val="en-US"/>
              </w:rPr>
              <w:t>3.</w:t>
            </w:r>
            <w:r>
              <w:rPr>
                <w:lang w:val="en-US"/>
              </w:rPr>
              <w:t xml:space="preserve"> </w:t>
            </w:r>
            <w:r w:rsidRPr="00193F4E">
              <w:rPr>
                <w:lang w:val="en-US"/>
              </w:rPr>
              <w:t>For Paging adaptation, R2 discusses the following options on compatibility of legacy RRC_IDLE/RRC_INACTIVE UE:</w:t>
            </w:r>
          </w:p>
          <w:p w14:paraId="486ECC4B" w14:textId="617B61E8" w:rsidR="00193F4E" w:rsidRPr="00193F4E" w:rsidRDefault="00193F4E" w:rsidP="00193F4E">
            <w:pPr>
              <w:spacing w:after="0"/>
              <w:rPr>
                <w:lang w:val="en-US"/>
              </w:rPr>
            </w:pPr>
            <w:r w:rsidRPr="00193F4E">
              <w:rPr>
                <w:lang w:val="en-US"/>
              </w:rPr>
              <w:t xml:space="preserve"> - Option 1: Prevent the access of legacy UE via barring;</w:t>
            </w:r>
          </w:p>
          <w:p w14:paraId="77AE17BB" w14:textId="5567F592" w:rsidR="00193F4E" w:rsidRPr="00193F4E" w:rsidRDefault="00193F4E" w:rsidP="00193F4E">
            <w:pPr>
              <w:spacing w:after="0"/>
              <w:rPr>
                <w:lang w:val="en-US"/>
              </w:rPr>
            </w:pPr>
            <w:r w:rsidRPr="00193F4E">
              <w:rPr>
                <w:lang w:val="en-US"/>
              </w:rPr>
              <w:t xml:space="preserve"> - Option 2: Separate paging resources for legacy UEs and Rel-19 NES UEs (assuming there are legacy UEs)</w:t>
            </w:r>
          </w:p>
        </w:tc>
      </w:tr>
    </w:tbl>
    <w:p w14:paraId="154F9B42" w14:textId="77777777" w:rsidR="00193F4E" w:rsidRDefault="00193F4E" w:rsidP="00C02370"/>
    <w:p w14:paraId="1C30A112" w14:textId="7EBE325A" w:rsidR="008B527E" w:rsidRDefault="008B527E" w:rsidP="008B527E">
      <w:r w:rsidRPr="003720CD">
        <w:t xml:space="preserve">In this contribution, we </w:t>
      </w:r>
      <w:r w:rsidR="003720CD" w:rsidRPr="003720CD">
        <w:t>provide</w:t>
      </w:r>
      <w:r w:rsidRPr="003720CD">
        <w:t xml:space="preserve"> our view on </w:t>
      </w:r>
      <w:r w:rsidR="003720CD" w:rsidRPr="003720CD">
        <w:t xml:space="preserve">potential </w:t>
      </w:r>
      <w:r w:rsidRPr="003720CD">
        <w:t>enhancements for adaptation of common signal/channel transmissions for NES.</w:t>
      </w:r>
    </w:p>
    <w:p w14:paraId="652A7034" w14:textId="77777777" w:rsidR="008B527E" w:rsidRPr="008B527E" w:rsidRDefault="008B527E" w:rsidP="00C02370"/>
    <w:p w14:paraId="1CA44EF5" w14:textId="64ED87B7" w:rsidR="00B14A93" w:rsidRPr="003F3363" w:rsidRDefault="00640844" w:rsidP="00927A05">
      <w:pPr>
        <w:pStyle w:val="1"/>
      </w:pPr>
      <w:r>
        <w:rPr>
          <w:lang w:eastAsia="ko-KR"/>
        </w:rPr>
        <w:t>Discussion</w:t>
      </w:r>
    </w:p>
    <w:p w14:paraId="4105397D" w14:textId="20FC69F6" w:rsidR="00F16DED" w:rsidRDefault="003720CD" w:rsidP="00C02370">
      <w:pPr>
        <w:rPr>
          <w:b/>
          <w:u w:val="single"/>
        </w:rPr>
      </w:pPr>
      <w:r w:rsidRPr="003720CD">
        <w:rPr>
          <w:b/>
          <w:highlight w:val="cyan"/>
          <w:u w:val="single"/>
        </w:rPr>
        <w:t xml:space="preserve">[SSB </w:t>
      </w:r>
      <w:r>
        <w:rPr>
          <w:b/>
          <w:highlight w:val="cyan"/>
          <w:u w:val="single"/>
        </w:rPr>
        <w:t>TD</w:t>
      </w:r>
      <w:r w:rsidRPr="003720CD">
        <w:rPr>
          <w:b/>
          <w:highlight w:val="cyan"/>
          <w:u w:val="single"/>
        </w:rPr>
        <w:t xml:space="preserve"> adaptation]</w:t>
      </w:r>
    </w:p>
    <w:p w14:paraId="24F31793" w14:textId="5CECE478" w:rsidR="00B760A9" w:rsidRDefault="00B50FD8" w:rsidP="00C02370">
      <w:r>
        <w:t xml:space="preserve">For the SSB time domain adaptation, the following two </w:t>
      </w:r>
      <w:r w:rsidR="00B760A9">
        <w:t>scenarios</w:t>
      </w:r>
      <w:r>
        <w:t xml:space="preserve"> were discussed in the last meeting:</w:t>
      </w:r>
    </w:p>
    <w:p w14:paraId="7CE53CE1" w14:textId="388B4BD1" w:rsidR="00B760A9" w:rsidRDefault="00B760A9" w:rsidP="00B760A9">
      <w:pPr>
        <w:pStyle w:val="a4"/>
        <w:numPr>
          <w:ilvl w:val="0"/>
          <w:numId w:val="18"/>
        </w:numPr>
        <w:spacing w:after="60"/>
        <w:ind w:leftChars="0" w:left="806" w:hanging="403"/>
      </w:pPr>
      <w:r>
        <w:rPr>
          <w:rFonts w:hint="eastAsia"/>
        </w:rPr>
        <w:t>C</w:t>
      </w:r>
      <w:r>
        <w:t>ell with both legacy UEs and Rel-19 NES-capable UEs</w:t>
      </w:r>
    </w:p>
    <w:p w14:paraId="52E86FA2" w14:textId="149AB521" w:rsidR="00B760A9" w:rsidRDefault="00B760A9" w:rsidP="00B760A9">
      <w:pPr>
        <w:pStyle w:val="a4"/>
        <w:numPr>
          <w:ilvl w:val="0"/>
          <w:numId w:val="18"/>
        </w:numPr>
        <w:ind w:leftChars="0"/>
      </w:pPr>
      <w:r>
        <w:rPr>
          <w:rFonts w:hint="eastAsia"/>
        </w:rPr>
        <w:t>C</w:t>
      </w:r>
      <w:r>
        <w:t>ell with only Rel-19 NES-capable UEs</w:t>
      </w:r>
    </w:p>
    <w:p w14:paraId="1CB27074" w14:textId="205B0E6D" w:rsidR="00B760A9" w:rsidRDefault="00B50FD8" w:rsidP="00C02370">
      <w:r>
        <w:rPr>
          <w:rFonts w:hint="eastAsia"/>
        </w:rPr>
        <w:t>F</w:t>
      </w:r>
      <w:r>
        <w:t xml:space="preserve">or the first scenario, it was agreed to support </w:t>
      </w:r>
      <w:proofErr w:type="spellStart"/>
      <w:r>
        <w:t>PCell</w:t>
      </w:r>
      <w:proofErr w:type="spellEnd"/>
      <w:r>
        <w:t xml:space="preserve"> and </w:t>
      </w:r>
      <w:proofErr w:type="spellStart"/>
      <w:r>
        <w:t>SCell</w:t>
      </w:r>
      <w:proofErr w:type="spellEnd"/>
      <w:r>
        <w:t xml:space="preserve"> case for Rel-19 NES-capable UE.</w:t>
      </w:r>
      <w:r w:rsidR="00C21606">
        <w:rPr>
          <w:rFonts w:hint="eastAsia"/>
        </w:rPr>
        <w:t xml:space="preserve"> </w:t>
      </w:r>
      <w:r w:rsidR="00B760A9">
        <w:t>One unclear point in the agreement is whether the legacy UEs are RRC</w:t>
      </w:r>
      <w:r w:rsidR="004E7236">
        <w:t>-</w:t>
      </w:r>
      <w:r w:rsidR="00B760A9">
        <w:t>connected mode UEs or idle/inactive mode UEs</w:t>
      </w:r>
      <w:r w:rsidR="00C21606">
        <w:t xml:space="preserve"> or both</w:t>
      </w:r>
      <w:r w:rsidR="00B760A9">
        <w:t xml:space="preserve">. If </w:t>
      </w:r>
      <w:r w:rsidR="00C21606">
        <w:t xml:space="preserve">the </w:t>
      </w:r>
      <w:r w:rsidR="00B760A9">
        <w:t xml:space="preserve">legacy idle mode UEs are camping on the NES cell, CD-SSB cannot be adapted and </w:t>
      </w:r>
      <w:r w:rsidR="00C21606">
        <w:t xml:space="preserve">the network may be forced to configure an </w:t>
      </w:r>
      <w:r w:rsidR="00B760A9">
        <w:t>additional SSB</w:t>
      </w:r>
      <w:r w:rsidR="00C21606">
        <w:t xml:space="preserve"> for adaptation</w:t>
      </w:r>
      <w:r w:rsidR="00B760A9">
        <w:t xml:space="preserve">. </w:t>
      </w:r>
      <w:r w:rsidR="00C21606">
        <w:t xml:space="preserve">Therefore, the achievable NES gain would be marginal and </w:t>
      </w:r>
      <w:r w:rsidR="00E43CF0">
        <w:t>also the network operation would be complicated</w:t>
      </w:r>
      <w:r w:rsidR="00B760A9">
        <w:t>.</w:t>
      </w:r>
    </w:p>
    <w:p w14:paraId="4F0806C6" w14:textId="660B161B" w:rsidR="00187F4C" w:rsidRDefault="00187F4C" w:rsidP="00C02370">
      <w:pPr>
        <w:rPr>
          <w:b/>
        </w:rPr>
      </w:pPr>
      <w:r>
        <w:rPr>
          <w:b/>
        </w:rPr>
        <w:t xml:space="preserve">Proposal 1: </w:t>
      </w:r>
      <w:r w:rsidR="000575CC">
        <w:rPr>
          <w:b/>
        </w:rPr>
        <w:t>For SSB time domain</w:t>
      </w:r>
      <w:r w:rsidR="002134BF">
        <w:rPr>
          <w:b/>
        </w:rPr>
        <w:t xml:space="preserve"> adaptation</w:t>
      </w:r>
      <w:r w:rsidR="000575CC">
        <w:rPr>
          <w:b/>
        </w:rPr>
        <w:t xml:space="preserve">, </w:t>
      </w:r>
      <w:r w:rsidR="00B760A9">
        <w:rPr>
          <w:b/>
        </w:rPr>
        <w:t>for the scenario</w:t>
      </w:r>
      <w:r w:rsidRPr="00187F4C">
        <w:rPr>
          <w:b/>
        </w:rPr>
        <w:t xml:space="preserve"> </w:t>
      </w:r>
      <w:r w:rsidR="000575CC">
        <w:rPr>
          <w:b/>
        </w:rPr>
        <w:t>“</w:t>
      </w:r>
      <w:r w:rsidRPr="00187F4C">
        <w:rPr>
          <w:b/>
        </w:rPr>
        <w:t>cell with both legacy UEs and Rel-19 NES-capable UEs</w:t>
      </w:r>
      <w:r w:rsidR="000575CC">
        <w:rPr>
          <w:b/>
        </w:rPr>
        <w:t>” in the previous agreement</w:t>
      </w:r>
      <w:r>
        <w:rPr>
          <w:b/>
        </w:rPr>
        <w:t xml:space="preserve">, </w:t>
      </w:r>
      <w:r w:rsidR="00B760A9">
        <w:rPr>
          <w:b/>
        </w:rPr>
        <w:t xml:space="preserve">clarify that </w:t>
      </w:r>
      <w:r>
        <w:rPr>
          <w:b/>
        </w:rPr>
        <w:t xml:space="preserve">the legacy UEs are RRC connected </w:t>
      </w:r>
      <w:r w:rsidR="00B760A9">
        <w:rPr>
          <w:b/>
        </w:rPr>
        <w:t xml:space="preserve">mode </w:t>
      </w:r>
      <w:r>
        <w:rPr>
          <w:b/>
        </w:rPr>
        <w:t>UEs.</w:t>
      </w:r>
    </w:p>
    <w:p w14:paraId="031EFB11" w14:textId="45E7739C" w:rsidR="000575CC" w:rsidRDefault="000575CC" w:rsidP="00C02370">
      <w:pPr>
        <w:rPr>
          <w:b/>
        </w:rPr>
      </w:pPr>
      <w:r>
        <w:rPr>
          <w:rFonts w:hint="eastAsia"/>
          <w:b/>
        </w:rPr>
        <w:t>P</w:t>
      </w:r>
      <w:r>
        <w:rPr>
          <w:b/>
        </w:rPr>
        <w:t xml:space="preserve">roposal 2: </w:t>
      </w:r>
      <w:r w:rsidR="002134BF">
        <w:rPr>
          <w:b/>
        </w:rPr>
        <w:t xml:space="preserve">For SSB time domain adaptation, </w:t>
      </w:r>
      <w:r>
        <w:rPr>
          <w:b/>
        </w:rPr>
        <w:t xml:space="preserve">do not consider a scenario where </w:t>
      </w:r>
      <w:r w:rsidR="00E43CF0">
        <w:rPr>
          <w:b/>
        </w:rPr>
        <w:t xml:space="preserve">legacy idle/inactive mode UEs are camping on </w:t>
      </w:r>
      <w:r>
        <w:rPr>
          <w:b/>
        </w:rPr>
        <w:t>a NES cell</w:t>
      </w:r>
      <w:r w:rsidR="00B760A9">
        <w:rPr>
          <w:b/>
        </w:rPr>
        <w:t>.</w:t>
      </w:r>
    </w:p>
    <w:p w14:paraId="2B01D437" w14:textId="77777777" w:rsidR="000575CC" w:rsidRPr="00720149" w:rsidRDefault="000575CC" w:rsidP="00C02370"/>
    <w:p w14:paraId="3E0A80E7" w14:textId="754C445D" w:rsidR="00FD65AE" w:rsidRDefault="002134BF" w:rsidP="00FD65AE">
      <w:r w:rsidRPr="00720149">
        <w:rPr>
          <w:rFonts w:hint="eastAsia"/>
        </w:rPr>
        <w:lastRenderedPageBreak/>
        <w:t>U</w:t>
      </w:r>
      <w:r w:rsidRPr="00720149">
        <w:t xml:space="preserve">nder the above clarification, the presence or absence of the legacy </w:t>
      </w:r>
      <w:r w:rsidR="00E43CF0">
        <w:t>connected mode</w:t>
      </w:r>
      <w:r>
        <w:t xml:space="preserve"> </w:t>
      </w:r>
      <w:r w:rsidRPr="00720149">
        <w:t>UEs</w:t>
      </w:r>
      <w:r>
        <w:t xml:space="preserve"> </w:t>
      </w:r>
      <w:r w:rsidR="00E43CF0">
        <w:t>would</w:t>
      </w:r>
      <w:r>
        <w:t xml:space="preserve"> not make a big difference</w:t>
      </w:r>
      <w:r w:rsidR="00E43CF0">
        <w:t xml:space="preserve"> to the SSB adaptation</w:t>
      </w:r>
      <w:r>
        <w:t xml:space="preserve">. </w:t>
      </w:r>
      <w:r w:rsidR="00E43CF0">
        <w:t xml:space="preserve">Therefore, </w:t>
      </w:r>
      <w:r w:rsidR="00C43ACF">
        <w:t>there seems no need to distinguish between the above two scenarios.</w:t>
      </w:r>
    </w:p>
    <w:p w14:paraId="75E0F81A" w14:textId="40DC58E9" w:rsidR="00FD65AE" w:rsidRDefault="00E43CF0" w:rsidP="00B760A9">
      <w:r>
        <w:t>I</w:t>
      </w:r>
      <w:r w:rsidR="00B760A9">
        <w:t xml:space="preserve">f </w:t>
      </w:r>
      <w:r w:rsidR="002134BF">
        <w:t>the</w:t>
      </w:r>
      <w:r w:rsidR="00B760A9">
        <w:t xml:space="preserve"> SSB time domain adaptation scheme is not supported for </w:t>
      </w:r>
      <w:r w:rsidR="002134BF">
        <w:t xml:space="preserve">Rel-19 </w:t>
      </w:r>
      <w:r>
        <w:t xml:space="preserve">NES-capable </w:t>
      </w:r>
      <w:r w:rsidR="00B760A9">
        <w:t xml:space="preserve">idle/inactive UEs, </w:t>
      </w:r>
      <w:r w:rsidR="00C43ACF">
        <w:t>camping is not supported at all on the NES cell</w:t>
      </w:r>
      <w:r w:rsidR="00B760A9">
        <w:t xml:space="preserve">. </w:t>
      </w:r>
      <w:r w:rsidR="00C43ACF">
        <w:t>Then, t</w:t>
      </w:r>
      <w:r w:rsidR="00B760A9">
        <w:t xml:space="preserve">he </w:t>
      </w:r>
      <w:r w:rsidR="002134BF">
        <w:t xml:space="preserve">usage of the NES </w:t>
      </w:r>
      <w:r w:rsidR="00B760A9">
        <w:t xml:space="preserve">cell </w:t>
      </w:r>
      <w:r w:rsidR="002134BF">
        <w:t>will be</w:t>
      </w:r>
      <w:r w:rsidR="00B760A9">
        <w:t xml:space="preserve"> </w:t>
      </w:r>
      <w:r w:rsidR="002134BF">
        <w:t xml:space="preserve">limited to serving connected mode UEs, and it may also have a negative impact on </w:t>
      </w:r>
      <w:r w:rsidR="00C43ACF">
        <w:t xml:space="preserve">the </w:t>
      </w:r>
      <w:r w:rsidR="002134BF">
        <w:t>idle mode load balancing.</w:t>
      </w:r>
      <w:r w:rsidR="00FD65AE">
        <w:t xml:space="preserve"> Therefore, we propose to support both idle/inactive UEs and connected UEs for Rel-19 SSB time domain adaptation.</w:t>
      </w:r>
    </w:p>
    <w:p w14:paraId="3C8A7CD4" w14:textId="7608B85F" w:rsidR="00FD65AE" w:rsidRDefault="00FD65AE" w:rsidP="00B760A9">
      <w:r>
        <w:t xml:space="preserve">Moreover, if there is no legacy idle/inactive UE in a NES cell, CD-SSB can directly be adapted. For adaptation signalling, </w:t>
      </w:r>
      <w:r w:rsidR="00143E94">
        <w:t xml:space="preserve">a common </w:t>
      </w:r>
      <w:r>
        <w:t>DCI may be a good candidate to support idle/inactive UEs as well as connected UEs.</w:t>
      </w:r>
    </w:p>
    <w:p w14:paraId="56106FF4" w14:textId="22B6431C" w:rsidR="00130B0D" w:rsidRPr="00130B0D" w:rsidRDefault="00130B0D" w:rsidP="00720149">
      <w:pPr>
        <w:spacing w:after="60"/>
        <w:rPr>
          <w:b/>
        </w:rPr>
      </w:pPr>
      <w:r w:rsidRPr="00130B0D">
        <w:rPr>
          <w:rFonts w:hint="eastAsia"/>
          <w:b/>
        </w:rPr>
        <w:t>P</w:t>
      </w:r>
      <w:r w:rsidRPr="00130B0D">
        <w:rPr>
          <w:b/>
        </w:rPr>
        <w:t xml:space="preserve">roposal </w:t>
      </w:r>
      <w:r w:rsidR="00720149">
        <w:rPr>
          <w:b/>
        </w:rPr>
        <w:t>3</w:t>
      </w:r>
      <w:r w:rsidRPr="00130B0D">
        <w:rPr>
          <w:b/>
        </w:rPr>
        <w:t xml:space="preserve">: </w:t>
      </w:r>
      <w:r w:rsidR="002134BF">
        <w:rPr>
          <w:b/>
        </w:rPr>
        <w:t>I</w:t>
      </w:r>
      <w:r w:rsidR="00720149">
        <w:rPr>
          <w:b/>
        </w:rPr>
        <w:t>rrespective of whether the legacy UEs are present or not</w:t>
      </w:r>
      <w:r w:rsidR="002134BF">
        <w:rPr>
          <w:b/>
        </w:rPr>
        <w:t xml:space="preserve"> in a NES cell</w:t>
      </w:r>
      <w:r w:rsidR="00720149">
        <w:rPr>
          <w:b/>
        </w:rPr>
        <w:t xml:space="preserve">, </w:t>
      </w:r>
      <w:r w:rsidR="002134BF">
        <w:rPr>
          <w:b/>
        </w:rPr>
        <w:t>SSB time domain adaptation</w:t>
      </w:r>
      <w:r w:rsidR="00EE32A9">
        <w:rPr>
          <w:b/>
        </w:rPr>
        <w:t xml:space="preserve"> is</w:t>
      </w:r>
      <w:r>
        <w:rPr>
          <w:b/>
        </w:rPr>
        <w:t xml:space="preserve"> s</w:t>
      </w:r>
      <w:r w:rsidRPr="00130B0D">
        <w:rPr>
          <w:b/>
        </w:rPr>
        <w:t>upport</w:t>
      </w:r>
      <w:r w:rsidR="00EE32A9">
        <w:rPr>
          <w:b/>
        </w:rPr>
        <w:t xml:space="preserve">ed </w:t>
      </w:r>
      <w:r w:rsidR="00720149">
        <w:rPr>
          <w:b/>
        </w:rPr>
        <w:t>for the following</w:t>
      </w:r>
      <w:r w:rsidR="00C51FC3">
        <w:rPr>
          <w:b/>
        </w:rPr>
        <w:t xml:space="preserve"> Rel-19 </w:t>
      </w:r>
      <w:r w:rsidR="002134BF">
        <w:rPr>
          <w:b/>
        </w:rPr>
        <w:t>UEs</w:t>
      </w:r>
      <w:r w:rsidR="00720149">
        <w:rPr>
          <w:b/>
        </w:rPr>
        <w:t>:</w:t>
      </w:r>
    </w:p>
    <w:p w14:paraId="02981005" w14:textId="2B7FCA97" w:rsidR="00822D18" w:rsidRPr="00822D18" w:rsidRDefault="00822D18" w:rsidP="00822D18">
      <w:pPr>
        <w:pStyle w:val="a4"/>
        <w:numPr>
          <w:ilvl w:val="0"/>
          <w:numId w:val="17"/>
        </w:numPr>
        <w:spacing w:after="60"/>
        <w:ind w:leftChars="0"/>
        <w:rPr>
          <w:b/>
        </w:rPr>
      </w:pPr>
      <w:r w:rsidRPr="00822D18">
        <w:rPr>
          <w:b/>
        </w:rPr>
        <w:t>Rel-19 NES-capable UE in idle/inactive mode</w:t>
      </w:r>
    </w:p>
    <w:p w14:paraId="1EAB43F8" w14:textId="6C517BDE" w:rsidR="00822D18" w:rsidRPr="00822D18" w:rsidRDefault="00822D18" w:rsidP="00822D18">
      <w:pPr>
        <w:pStyle w:val="a4"/>
        <w:numPr>
          <w:ilvl w:val="0"/>
          <w:numId w:val="17"/>
        </w:numPr>
        <w:spacing w:after="60"/>
        <w:ind w:leftChars="0"/>
        <w:rPr>
          <w:b/>
        </w:rPr>
      </w:pPr>
      <w:r w:rsidRPr="00822D18">
        <w:rPr>
          <w:b/>
        </w:rPr>
        <w:t xml:space="preserve">Rel-19 NES-capable UE’s </w:t>
      </w:r>
      <w:proofErr w:type="spellStart"/>
      <w:r w:rsidRPr="00822D18">
        <w:rPr>
          <w:b/>
        </w:rPr>
        <w:t>PCell</w:t>
      </w:r>
      <w:proofErr w:type="spellEnd"/>
      <w:r w:rsidRPr="00822D18">
        <w:rPr>
          <w:b/>
        </w:rPr>
        <w:t xml:space="preserve"> (Connected mode)</w:t>
      </w:r>
    </w:p>
    <w:p w14:paraId="4F6ADDD8" w14:textId="4FC993DE" w:rsidR="00822D18" w:rsidRPr="00822D18" w:rsidRDefault="00822D18" w:rsidP="00822D18">
      <w:pPr>
        <w:pStyle w:val="a4"/>
        <w:numPr>
          <w:ilvl w:val="0"/>
          <w:numId w:val="17"/>
        </w:numPr>
        <w:ind w:leftChars="0"/>
        <w:rPr>
          <w:b/>
        </w:rPr>
      </w:pPr>
      <w:r w:rsidRPr="00822D18">
        <w:rPr>
          <w:b/>
        </w:rPr>
        <w:t xml:space="preserve">Rel-19 NES-capable UE’s </w:t>
      </w:r>
      <w:proofErr w:type="spellStart"/>
      <w:r w:rsidRPr="00822D18">
        <w:rPr>
          <w:b/>
        </w:rPr>
        <w:t>SCell</w:t>
      </w:r>
      <w:proofErr w:type="spellEnd"/>
    </w:p>
    <w:p w14:paraId="2EE7EDBE" w14:textId="46774292" w:rsidR="00187F4C" w:rsidRDefault="00187F4C" w:rsidP="00C02370">
      <w:pPr>
        <w:rPr>
          <w:b/>
        </w:rPr>
      </w:pPr>
      <w:r w:rsidRPr="00187F4C">
        <w:rPr>
          <w:rFonts w:hint="eastAsia"/>
          <w:b/>
        </w:rPr>
        <w:t>P</w:t>
      </w:r>
      <w:r w:rsidRPr="00187F4C">
        <w:rPr>
          <w:b/>
        </w:rPr>
        <w:t xml:space="preserve">roposal 4: Support </w:t>
      </w:r>
      <w:r w:rsidR="002134BF">
        <w:rPr>
          <w:b/>
        </w:rPr>
        <w:t xml:space="preserve">time domain </w:t>
      </w:r>
      <w:r w:rsidRPr="00187F4C">
        <w:rPr>
          <w:b/>
        </w:rPr>
        <w:t>adaptation of CD-SSB.</w:t>
      </w:r>
    </w:p>
    <w:p w14:paraId="6841AEE2" w14:textId="2E4BC955" w:rsidR="002134BF" w:rsidRPr="002134BF" w:rsidRDefault="002134BF" w:rsidP="00C02370">
      <w:pPr>
        <w:rPr>
          <w:b/>
        </w:rPr>
      </w:pPr>
      <w:r>
        <w:rPr>
          <w:b/>
        </w:rPr>
        <w:t xml:space="preserve">Proposal 5: </w:t>
      </w:r>
      <w:r w:rsidR="00C5789A">
        <w:rPr>
          <w:b/>
        </w:rPr>
        <w:t>The periodicity of CD-SSB can be adapted based on DCI indication.</w:t>
      </w:r>
    </w:p>
    <w:p w14:paraId="7ED5BF28" w14:textId="77777777" w:rsidR="003720CD" w:rsidRPr="00391FA1" w:rsidRDefault="003720CD" w:rsidP="00C02370"/>
    <w:p w14:paraId="664F4F1C" w14:textId="65221134" w:rsidR="00391FA1" w:rsidRDefault="003720CD" w:rsidP="00C02370">
      <w:pPr>
        <w:rPr>
          <w:b/>
          <w:u w:val="single"/>
        </w:rPr>
      </w:pPr>
      <w:r w:rsidRPr="003720CD">
        <w:rPr>
          <w:b/>
          <w:highlight w:val="cyan"/>
          <w:u w:val="single"/>
        </w:rPr>
        <w:t xml:space="preserve">[PRACH </w:t>
      </w:r>
      <w:r>
        <w:rPr>
          <w:b/>
          <w:highlight w:val="cyan"/>
          <w:u w:val="single"/>
        </w:rPr>
        <w:t>TD</w:t>
      </w:r>
      <w:r w:rsidR="00391FA1" w:rsidRPr="003720CD">
        <w:rPr>
          <w:b/>
          <w:highlight w:val="cyan"/>
          <w:u w:val="single"/>
        </w:rPr>
        <w:t xml:space="preserve"> adaptation</w:t>
      </w:r>
      <w:r w:rsidRPr="003720CD">
        <w:rPr>
          <w:b/>
          <w:highlight w:val="cyan"/>
          <w:u w:val="single"/>
        </w:rPr>
        <w:t>]</w:t>
      </w:r>
    </w:p>
    <w:p w14:paraId="099C8655" w14:textId="77777777" w:rsidR="00F10AD3" w:rsidRDefault="009A73CC" w:rsidP="00C02370">
      <w:r>
        <w:rPr>
          <w:rFonts w:hint="eastAsia"/>
        </w:rPr>
        <w:t>I</w:t>
      </w:r>
      <w:r>
        <w:t xml:space="preserve">n the last meeting, </w:t>
      </w:r>
      <w:r w:rsidR="00E606C9">
        <w:t xml:space="preserve">it was agreed to support PRACH time domain adaptation based on two PRACH resources, i.e., </w:t>
      </w:r>
      <w:r w:rsidR="00F10AD3">
        <w:t xml:space="preserve">a </w:t>
      </w:r>
      <w:r w:rsidR="00E606C9">
        <w:t xml:space="preserve">legacy PRACH resource and </w:t>
      </w:r>
      <w:r w:rsidR="00F10AD3">
        <w:t xml:space="preserve">an </w:t>
      </w:r>
      <w:r w:rsidR="00E606C9">
        <w:t>additional PRACH resource.</w:t>
      </w:r>
      <w:r w:rsidR="00E606C9">
        <w:rPr>
          <w:rFonts w:hint="eastAsia"/>
        </w:rPr>
        <w:t xml:space="preserve"> </w:t>
      </w:r>
      <w:r w:rsidR="004147BA">
        <w:rPr>
          <w:rFonts w:hint="eastAsia"/>
        </w:rPr>
        <w:t>F</w:t>
      </w:r>
      <w:r w:rsidR="004147BA">
        <w:t xml:space="preserve">igure 1 illustrates </w:t>
      </w:r>
      <w:r w:rsidR="00673482">
        <w:t xml:space="preserve">examples of </w:t>
      </w:r>
      <w:r w:rsidR="007C4379">
        <w:t xml:space="preserve">the </w:t>
      </w:r>
      <w:r w:rsidR="00673482">
        <w:t xml:space="preserve">PRACH configuration based on </w:t>
      </w:r>
      <w:r w:rsidR="00F10AD3">
        <w:t xml:space="preserve">the </w:t>
      </w:r>
      <w:r w:rsidR="00673482">
        <w:t>two PRACH resources. Basically</w:t>
      </w:r>
      <w:r w:rsidR="00E606C9">
        <w:t>,</w:t>
      </w:r>
      <w:r w:rsidR="00673482">
        <w:t xml:space="preserve"> the additional PRACH resource can be configured in a TDM/FDM manner with the legacy PRACH resource with or without sharing the same periodicity. When the two resources have different periodicity values, there may also be a possibility that the two resources overlap </w:t>
      </w:r>
      <w:r w:rsidR="00084F5A">
        <w:t>as shown in Case 4</w:t>
      </w:r>
      <w:r w:rsidR="00673482">
        <w:t>.</w:t>
      </w:r>
    </w:p>
    <w:p w14:paraId="3FBDB9D1" w14:textId="4E10FC60" w:rsidR="007C4379" w:rsidRPr="002F56B3" w:rsidRDefault="00956E37" w:rsidP="00C02370">
      <w:r>
        <w:t>It can be discussed how much configuration flexibility should be allowed across the two PRACH resources</w:t>
      </w:r>
      <w:r w:rsidR="00C325F2">
        <w:t xml:space="preserve">. For example, </w:t>
      </w:r>
      <w:r>
        <w:t>for</w:t>
      </w:r>
      <w:r w:rsidR="00C325F2">
        <w:t xml:space="preserve"> overlap between </w:t>
      </w:r>
      <w:r w:rsidR="007C4379">
        <w:t xml:space="preserve">the two PRACH </w:t>
      </w:r>
      <w:r w:rsidR="00C325F2">
        <w:t xml:space="preserve">resources, partial overlap may </w:t>
      </w:r>
      <w:r w:rsidR="00084F5A">
        <w:t>not be desirable</w:t>
      </w:r>
      <w:r w:rsidR="007C4379">
        <w:t xml:space="preserve"> </w:t>
      </w:r>
      <w:r w:rsidR="00245F78">
        <w:t>in terms of</w:t>
      </w:r>
      <w:r w:rsidR="007C4379" w:rsidRPr="00C325F2">
        <w:t xml:space="preserve"> ensur</w:t>
      </w:r>
      <w:r w:rsidR="00245F78">
        <w:t>ing</w:t>
      </w:r>
      <w:r w:rsidR="007C4379" w:rsidRPr="00C325F2">
        <w:t xml:space="preserve"> </w:t>
      </w:r>
      <w:r w:rsidR="007C4379">
        <w:t>the</w:t>
      </w:r>
      <w:r w:rsidR="007C4379" w:rsidRPr="00C325F2">
        <w:t xml:space="preserve"> preamble orthogonality between resources</w:t>
      </w:r>
      <w:r w:rsidR="00C325F2">
        <w:t>.</w:t>
      </w:r>
      <w:r w:rsidR="00084F5A">
        <w:t xml:space="preserve"> </w:t>
      </w:r>
      <w:r w:rsidR="00CA5C53">
        <w:t>Regarding the signalling method,</w:t>
      </w:r>
      <w:r w:rsidR="00084F5A">
        <w:t xml:space="preserve"> </w:t>
      </w:r>
      <w:r w:rsidR="00CA5C53">
        <w:t>t</w:t>
      </w:r>
      <w:r w:rsidR="00084F5A">
        <w:t xml:space="preserve">o support </w:t>
      </w:r>
      <w:r w:rsidR="00CA5C53">
        <w:t xml:space="preserve">both connected mode UEs and </w:t>
      </w:r>
      <w:r w:rsidR="00084F5A">
        <w:t>idle</w:t>
      </w:r>
      <w:r w:rsidR="00CA5C53">
        <w:t>/inactive</w:t>
      </w:r>
      <w:r w:rsidR="00084F5A">
        <w:t xml:space="preserve"> mode UEs,</w:t>
      </w:r>
      <w:r w:rsidR="00084F5A">
        <w:rPr>
          <w:rFonts w:hint="eastAsia"/>
        </w:rPr>
        <w:t xml:space="preserve"> </w:t>
      </w:r>
      <w:r w:rsidR="00084F5A">
        <w:t>the configuration information on the additional PRACH resource can be broadcasted as part of system information.</w:t>
      </w:r>
    </w:p>
    <w:p w14:paraId="5A6C1B92" w14:textId="122BECE6" w:rsidR="004B40C1" w:rsidRDefault="00037854" w:rsidP="00C02370">
      <w:pPr>
        <w:rPr>
          <w:b/>
        </w:rPr>
      </w:pPr>
      <w:r w:rsidRPr="00037854">
        <w:rPr>
          <w:rFonts w:hint="eastAsia"/>
          <w:b/>
        </w:rPr>
        <w:t>P</w:t>
      </w:r>
      <w:r w:rsidRPr="00037854">
        <w:rPr>
          <w:b/>
        </w:rPr>
        <w:t xml:space="preserve">roposal </w:t>
      </w:r>
      <w:r w:rsidR="004B40C1">
        <w:rPr>
          <w:b/>
        </w:rPr>
        <w:t>6</w:t>
      </w:r>
      <w:r w:rsidRPr="00037854">
        <w:rPr>
          <w:b/>
        </w:rPr>
        <w:t xml:space="preserve">: </w:t>
      </w:r>
      <w:r w:rsidR="004B5138" w:rsidRPr="00AB5362">
        <w:rPr>
          <w:b/>
        </w:rPr>
        <w:t>For PRACH adaptation based on two PRACH resources</w:t>
      </w:r>
      <w:r w:rsidR="004B5138">
        <w:rPr>
          <w:b/>
        </w:rPr>
        <w:t xml:space="preserve">, </w:t>
      </w:r>
      <w:r w:rsidR="00CA5C53">
        <w:rPr>
          <w:b/>
        </w:rPr>
        <w:t>study</w:t>
      </w:r>
      <w:r w:rsidR="004B5138">
        <w:rPr>
          <w:b/>
        </w:rPr>
        <w:t xml:space="preserve"> </w:t>
      </w:r>
      <w:r w:rsidR="004B40C1">
        <w:rPr>
          <w:b/>
        </w:rPr>
        <w:t xml:space="preserve">how much </w:t>
      </w:r>
      <w:r w:rsidR="00CA5C53">
        <w:rPr>
          <w:b/>
        </w:rPr>
        <w:t xml:space="preserve">configuration </w:t>
      </w:r>
      <w:r w:rsidR="004B40C1">
        <w:rPr>
          <w:b/>
        </w:rPr>
        <w:t xml:space="preserve">flexibility </w:t>
      </w:r>
      <w:r w:rsidR="00CA5C53">
        <w:rPr>
          <w:b/>
        </w:rPr>
        <w:t>is allowed across the legacy PRACH resource and the</w:t>
      </w:r>
      <w:r w:rsidR="004B40C1">
        <w:rPr>
          <w:b/>
        </w:rPr>
        <w:t xml:space="preserve"> additional PRACH resource (e.g., PRACH configuration index, periodicity, overlap).</w:t>
      </w:r>
    </w:p>
    <w:p w14:paraId="15AD4731" w14:textId="482666A5" w:rsidR="00084F5A" w:rsidRPr="00037854" w:rsidRDefault="00084F5A" w:rsidP="00C02370">
      <w:pPr>
        <w:rPr>
          <w:b/>
        </w:rPr>
      </w:pPr>
      <w:r>
        <w:rPr>
          <w:rFonts w:hint="eastAsia"/>
          <w:b/>
        </w:rPr>
        <w:t>P</w:t>
      </w:r>
      <w:r>
        <w:rPr>
          <w:b/>
        </w:rPr>
        <w:t xml:space="preserve">roposal </w:t>
      </w:r>
      <w:r w:rsidR="004B40C1">
        <w:rPr>
          <w:b/>
        </w:rPr>
        <w:t>7</w:t>
      </w:r>
      <w:r>
        <w:rPr>
          <w:b/>
        </w:rPr>
        <w:t xml:space="preserve">: </w:t>
      </w:r>
      <w:r w:rsidR="004B5138" w:rsidRPr="00AB5362">
        <w:rPr>
          <w:b/>
        </w:rPr>
        <w:t>For PRACH adaptation based on two PRACH resources</w:t>
      </w:r>
      <w:r>
        <w:rPr>
          <w:b/>
        </w:rPr>
        <w:t xml:space="preserve">, </w:t>
      </w:r>
      <w:r w:rsidR="004B40C1">
        <w:rPr>
          <w:b/>
        </w:rPr>
        <w:t xml:space="preserve">configuration information of </w:t>
      </w:r>
      <w:r w:rsidR="00A40406">
        <w:rPr>
          <w:b/>
        </w:rPr>
        <w:t xml:space="preserve">additional PRACH resource is </w:t>
      </w:r>
      <w:r w:rsidR="004B40C1">
        <w:rPr>
          <w:b/>
        </w:rPr>
        <w:t>included in SIB.</w:t>
      </w:r>
    </w:p>
    <w:p w14:paraId="6E8AC519" w14:textId="77777777" w:rsidR="00037854" w:rsidRPr="00A40406" w:rsidRDefault="00037854" w:rsidP="00C02370"/>
    <w:p w14:paraId="6B88F80E" w14:textId="02FB5879" w:rsidR="008835C1" w:rsidRDefault="008835C1" w:rsidP="008835C1">
      <w:pPr>
        <w:jc w:val="center"/>
      </w:pPr>
      <w:r>
        <w:rPr>
          <w:noProof/>
        </w:rPr>
        <w:lastRenderedPageBreak/>
        <w:drawing>
          <wp:inline distT="0" distB="0" distL="0" distR="0" wp14:anchorId="053D9D78" wp14:editId="145AC995">
            <wp:extent cx="4976037" cy="3262008"/>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7433" cy="3302256"/>
                    </a:xfrm>
                    <a:prstGeom prst="rect">
                      <a:avLst/>
                    </a:prstGeom>
                    <a:noFill/>
                  </pic:spPr>
                </pic:pic>
              </a:graphicData>
            </a:graphic>
          </wp:inline>
        </w:drawing>
      </w:r>
    </w:p>
    <w:p w14:paraId="7F7DC8EF" w14:textId="40C98C2E" w:rsidR="008835C1" w:rsidRDefault="008835C1" w:rsidP="008835C1">
      <w:pPr>
        <w:jc w:val="center"/>
      </w:pPr>
      <w:r>
        <w:t xml:space="preserve">Figure 1. Examples </w:t>
      </w:r>
      <w:r w:rsidR="008F0B09">
        <w:t>for</w:t>
      </w:r>
      <w:r>
        <w:t xml:space="preserve"> </w:t>
      </w:r>
      <w:r w:rsidR="008F0B09">
        <w:t>configuration of two PRACH resources</w:t>
      </w:r>
    </w:p>
    <w:p w14:paraId="79A5502A" w14:textId="77777777" w:rsidR="00A40406" w:rsidRPr="00A40406" w:rsidRDefault="00A40406" w:rsidP="00C02370"/>
    <w:p w14:paraId="7B133EC1" w14:textId="4D9C97C5" w:rsidR="0034252F" w:rsidRPr="0034252F" w:rsidRDefault="004B5138" w:rsidP="00C02370">
      <w:r>
        <w:t>O</w:t>
      </w:r>
      <w:r w:rsidR="00037854">
        <w:t xml:space="preserve">ne </w:t>
      </w:r>
      <w:r w:rsidR="002F56B3">
        <w:t>use case of</w:t>
      </w:r>
      <w:r w:rsidR="00B92426">
        <w:t xml:space="preserve"> activating the additional PRACH resource is to force the NES UEs leave from the legacy PRACH resource when the legacy resource is crowded.</w:t>
      </w:r>
      <w:r w:rsidR="002F56B3">
        <w:t xml:space="preserve"> To </w:t>
      </w:r>
      <w:r w:rsidR="00084F5A">
        <w:t xml:space="preserve">achieve that purpose, it may be appropriate to </w:t>
      </w:r>
      <w:r w:rsidR="00000D04">
        <w:t>set</w:t>
      </w:r>
      <w:r w:rsidR="00084F5A">
        <w:t xml:space="preserve"> a priority</w:t>
      </w:r>
      <w:r w:rsidR="00000D04">
        <w:t xml:space="preserve"> for Rel-19 NES-capable UEs</w:t>
      </w:r>
      <w:r w:rsidR="00084F5A">
        <w:t xml:space="preserve"> across the two PRACH resources. For example, a NES UE may</w:t>
      </w:r>
      <w:r w:rsidR="00E721B1" w:rsidRPr="00E721B1">
        <w:t xml:space="preserve"> </w:t>
      </w:r>
      <w:r w:rsidR="00E721B1" w:rsidRPr="002F56B3">
        <w:t xml:space="preserve">preferentially transmit </w:t>
      </w:r>
      <w:r w:rsidR="00000D04">
        <w:t>a</w:t>
      </w:r>
      <w:r w:rsidR="00E721B1" w:rsidRPr="002F56B3">
        <w:t xml:space="preserve"> preamble in the </w:t>
      </w:r>
      <w:r w:rsidR="00E721B1">
        <w:t>additional PRACH resource</w:t>
      </w:r>
      <w:r w:rsidR="00084F5A">
        <w:t xml:space="preserve"> when both the two PRACH resources are available</w:t>
      </w:r>
      <w:r w:rsidR="00E721B1">
        <w:t>.</w:t>
      </w:r>
      <w:r w:rsidR="00E721B1">
        <w:rPr>
          <w:rFonts w:hint="eastAsia"/>
        </w:rPr>
        <w:t xml:space="preserve"> </w:t>
      </w:r>
      <w:r w:rsidR="0034252F">
        <w:t>The priority may b</w:t>
      </w:r>
      <w:r w:rsidR="00000D04">
        <w:t>e predefined or signalled to UE, and may be applied under a certain condition.</w:t>
      </w:r>
    </w:p>
    <w:p w14:paraId="25647949" w14:textId="77DEEC8F" w:rsidR="00037854" w:rsidRPr="0034252F" w:rsidRDefault="0034252F" w:rsidP="00C02370">
      <w:pPr>
        <w:rPr>
          <w:b/>
          <w:bCs/>
        </w:rPr>
      </w:pPr>
      <w:r w:rsidRPr="0034252F">
        <w:rPr>
          <w:b/>
          <w:bCs/>
        </w:rPr>
        <w:t xml:space="preserve">Proposal </w:t>
      </w:r>
      <w:r w:rsidR="004B40C1">
        <w:rPr>
          <w:b/>
          <w:bCs/>
        </w:rPr>
        <w:t>8</w:t>
      </w:r>
      <w:r w:rsidRPr="0034252F">
        <w:rPr>
          <w:b/>
          <w:bCs/>
        </w:rPr>
        <w:t xml:space="preserve">: When </w:t>
      </w:r>
      <w:r>
        <w:rPr>
          <w:b/>
          <w:bCs/>
        </w:rPr>
        <w:t xml:space="preserve">both </w:t>
      </w:r>
      <w:r w:rsidRPr="0034252F">
        <w:rPr>
          <w:b/>
          <w:bCs/>
        </w:rPr>
        <w:t xml:space="preserve">two PRACH resources are available, UE can choose one of </w:t>
      </w:r>
      <w:r w:rsidR="00E721B1">
        <w:rPr>
          <w:b/>
          <w:bCs/>
        </w:rPr>
        <w:t>the two PRACH resources</w:t>
      </w:r>
      <w:r w:rsidRPr="0034252F">
        <w:rPr>
          <w:b/>
          <w:bCs/>
        </w:rPr>
        <w:t xml:space="preserve"> based on priority.</w:t>
      </w:r>
    </w:p>
    <w:p w14:paraId="2BCB5663" w14:textId="5166BC40" w:rsidR="00B92426" w:rsidRDefault="00B92426" w:rsidP="00C02370"/>
    <w:p w14:paraId="44713CFE" w14:textId="71E695D8" w:rsidR="00864D8A" w:rsidRDefault="0034252F" w:rsidP="00C02370">
      <w:r>
        <w:rPr>
          <w:rFonts w:hint="eastAsia"/>
        </w:rPr>
        <w:t>A</w:t>
      </w:r>
      <w:r>
        <w:t xml:space="preserve">fter transmitting the </w:t>
      </w:r>
      <w:r w:rsidR="00E721B1">
        <w:t>msg1/</w:t>
      </w:r>
      <w:proofErr w:type="spellStart"/>
      <w:r w:rsidR="00E721B1">
        <w:t>msgA</w:t>
      </w:r>
      <w:proofErr w:type="spellEnd"/>
      <w:r>
        <w:t>, UE expects to receive msg2</w:t>
      </w:r>
      <w:r w:rsidR="00E721B1">
        <w:t>/</w:t>
      </w:r>
      <w:proofErr w:type="spellStart"/>
      <w:r w:rsidR="00E721B1">
        <w:t>msgB</w:t>
      </w:r>
      <w:proofErr w:type="spellEnd"/>
      <w:r>
        <w:t xml:space="preserve"> RAR from the NES cell.</w:t>
      </w:r>
      <w:r w:rsidR="00864D8A">
        <w:t xml:space="preserve"> As per the legacy behaviour, UE may monitor Type 1-PDCCH CSS set</w:t>
      </w:r>
      <w:r w:rsidR="00AB5362">
        <w:t xml:space="preserve"> by setting the RAR window from</w:t>
      </w:r>
      <w:r w:rsidR="00864D8A">
        <w:t xml:space="preserve"> the earliest CORESET </w:t>
      </w:r>
      <w:r w:rsidR="004B5138">
        <w:t xml:space="preserve">appearing </w:t>
      </w:r>
      <w:r w:rsidR="00864D8A">
        <w:t xml:space="preserve">after the RO where the preamble is transmitted. </w:t>
      </w:r>
      <w:r w:rsidR="00000D04">
        <w:t>Some</w:t>
      </w:r>
      <w:r w:rsidR="00864D8A">
        <w:t xml:space="preserve"> examples are illustrated in Figure 2</w:t>
      </w:r>
      <w:r w:rsidR="004B5739">
        <w:t xml:space="preserve"> and Figure 3</w:t>
      </w:r>
      <w:r w:rsidR="00822D18">
        <w:t>.</w:t>
      </w:r>
    </w:p>
    <w:p w14:paraId="09651F8C" w14:textId="557E1C38" w:rsidR="00AB5362" w:rsidRPr="00AB5362" w:rsidRDefault="00AB5362" w:rsidP="00C02370">
      <w:pPr>
        <w:rPr>
          <w:b/>
        </w:rPr>
      </w:pPr>
      <w:r w:rsidRPr="00AB5362">
        <w:rPr>
          <w:rFonts w:hint="eastAsia"/>
          <w:b/>
        </w:rPr>
        <w:t>O</w:t>
      </w:r>
      <w:r w:rsidRPr="00AB5362">
        <w:rPr>
          <w:b/>
        </w:rPr>
        <w:t xml:space="preserve">bservation </w:t>
      </w:r>
      <w:r w:rsidR="00A40406">
        <w:rPr>
          <w:b/>
        </w:rPr>
        <w:t>1</w:t>
      </w:r>
      <w:r w:rsidRPr="00AB5362">
        <w:rPr>
          <w:b/>
        </w:rPr>
        <w:t xml:space="preserve">: For PRACH adaptation based on two PRACH resources, </w:t>
      </w:r>
      <w:r w:rsidR="004B40C1">
        <w:rPr>
          <w:b/>
        </w:rPr>
        <w:t xml:space="preserve">the legacy operation can still be applied for </w:t>
      </w:r>
      <w:r w:rsidRPr="00AB5362">
        <w:rPr>
          <w:b/>
        </w:rPr>
        <w:t>determin</w:t>
      </w:r>
      <w:r w:rsidR="004B40C1">
        <w:rPr>
          <w:b/>
        </w:rPr>
        <w:t>ing</w:t>
      </w:r>
      <w:r w:rsidRPr="00AB5362">
        <w:rPr>
          <w:b/>
        </w:rPr>
        <w:t xml:space="preserve"> the RAR window </w:t>
      </w:r>
      <w:r>
        <w:rPr>
          <w:b/>
        </w:rPr>
        <w:t>for msg2 reception</w:t>
      </w:r>
      <w:r w:rsidRPr="00AB5362">
        <w:rPr>
          <w:b/>
        </w:rPr>
        <w:t>.</w:t>
      </w:r>
    </w:p>
    <w:p w14:paraId="7E71D5FE" w14:textId="01D097BF" w:rsidR="00864D8A" w:rsidRPr="004B40C1" w:rsidRDefault="00864D8A" w:rsidP="00C02370"/>
    <w:p w14:paraId="3A5A3E1F" w14:textId="51FD475F" w:rsidR="00D90D53" w:rsidRDefault="00452CCA" w:rsidP="003136C8">
      <w:pPr>
        <w:jc w:val="center"/>
      </w:pPr>
      <w:r>
        <w:rPr>
          <w:noProof/>
        </w:rPr>
        <w:lastRenderedPageBreak/>
        <w:drawing>
          <wp:inline distT="0" distB="0" distL="0" distR="0" wp14:anchorId="408A2A9A" wp14:editId="02A8F9BF">
            <wp:extent cx="4905375" cy="1983703"/>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8264" cy="2001047"/>
                    </a:xfrm>
                    <a:prstGeom prst="rect">
                      <a:avLst/>
                    </a:prstGeom>
                    <a:noFill/>
                  </pic:spPr>
                </pic:pic>
              </a:graphicData>
            </a:graphic>
          </wp:inline>
        </w:drawing>
      </w:r>
    </w:p>
    <w:p w14:paraId="4EA17C00" w14:textId="67109E3C" w:rsidR="00864D8A" w:rsidRDefault="00864D8A" w:rsidP="00864D8A">
      <w:pPr>
        <w:jc w:val="center"/>
      </w:pPr>
      <w:r>
        <w:rPr>
          <w:rFonts w:hint="eastAsia"/>
        </w:rPr>
        <w:t>F</w:t>
      </w:r>
      <w:r>
        <w:t>igure 2</w:t>
      </w:r>
      <w:r w:rsidR="003136C8">
        <w:t xml:space="preserve">. An example of msg2 RAR reception </w:t>
      </w:r>
      <w:r w:rsidR="00452CCA">
        <w:t>(</w:t>
      </w:r>
      <w:r w:rsidR="004B5739">
        <w:t xml:space="preserve">case of </w:t>
      </w:r>
      <w:r w:rsidR="00452CCA">
        <w:t>same RAR window)</w:t>
      </w:r>
    </w:p>
    <w:p w14:paraId="72E1FBE6" w14:textId="485547D3" w:rsidR="0034252F" w:rsidRDefault="0034252F" w:rsidP="00C02370"/>
    <w:p w14:paraId="0AB14DD6" w14:textId="3170F587" w:rsidR="003136C8" w:rsidRDefault="00452CCA" w:rsidP="00452CCA">
      <w:pPr>
        <w:jc w:val="center"/>
      </w:pPr>
      <w:r>
        <w:rPr>
          <w:noProof/>
        </w:rPr>
        <w:drawing>
          <wp:inline distT="0" distB="0" distL="0" distR="0" wp14:anchorId="23F3D8D8" wp14:editId="4F998702">
            <wp:extent cx="5638800" cy="1944992"/>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1252" cy="1952736"/>
                    </a:xfrm>
                    <a:prstGeom prst="rect">
                      <a:avLst/>
                    </a:prstGeom>
                    <a:noFill/>
                  </pic:spPr>
                </pic:pic>
              </a:graphicData>
            </a:graphic>
          </wp:inline>
        </w:drawing>
      </w:r>
      <w:r>
        <w:rPr>
          <w:rFonts w:hint="eastAsia"/>
        </w:rPr>
        <w:t>\</w:t>
      </w:r>
    </w:p>
    <w:p w14:paraId="558816A1" w14:textId="38B924B6" w:rsidR="00452CCA" w:rsidRDefault="00452CCA" w:rsidP="00452CCA">
      <w:pPr>
        <w:jc w:val="center"/>
      </w:pPr>
      <w:r>
        <w:rPr>
          <w:rFonts w:hint="eastAsia"/>
        </w:rPr>
        <w:t>F</w:t>
      </w:r>
      <w:r>
        <w:t>igure 3. An example of msg2 RAR reception (</w:t>
      </w:r>
      <w:r w:rsidR="004B5739">
        <w:t xml:space="preserve">case of </w:t>
      </w:r>
      <w:r>
        <w:t>different RAR windows)</w:t>
      </w:r>
    </w:p>
    <w:p w14:paraId="26ADA96E" w14:textId="77777777" w:rsidR="00A40406" w:rsidRDefault="00A40406" w:rsidP="00A40406"/>
    <w:p w14:paraId="5A03D460" w14:textId="77777777" w:rsidR="008670B4" w:rsidRDefault="00F052AF" w:rsidP="00C02370">
      <w:r w:rsidRPr="00C544F8">
        <w:t xml:space="preserve">During the </w:t>
      </w:r>
      <w:r w:rsidR="008670B4" w:rsidRPr="00C544F8">
        <w:t>msg2</w:t>
      </w:r>
      <w:r w:rsidRPr="00C544F8">
        <w:t xml:space="preserve"> </w:t>
      </w:r>
      <w:r w:rsidR="008670B4" w:rsidRPr="00C544F8">
        <w:t xml:space="preserve">PDCCH </w:t>
      </w:r>
      <w:r w:rsidRPr="00C544F8">
        <w:t>reception, o</w:t>
      </w:r>
      <w:r w:rsidR="00F217F3" w:rsidRPr="00C544F8">
        <w:t xml:space="preserve">ne issue is that </w:t>
      </w:r>
      <w:r w:rsidR="00534129" w:rsidRPr="00C544F8">
        <w:t xml:space="preserve">there may be an ambiguity in the RA-RNTI interpretation </w:t>
      </w:r>
      <w:r w:rsidRPr="00C544F8">
        <w:t>if</w:t>
      </w:r>
      <w:r w:rsidR="00534129" w:rsidRPr="00534129">
        <w:t xml:space="preserve"> the two PRACH resources overlap in time and/or frequency.</w:t>
      </w:r>
      <w:r w:rsidR="008670B4">
        <w:t xml:space="preserve"> Currently, the RA-RNTI is determined by the following equation:</w:t>
      </w:r>
    </w:p>
    <w:p w14:paraId="24E93DBA" w14:textId="2C1C7010" w:rsidR="00F217F3" w:rsidRPr="00534129" w:rsidRDefault="008670B4" w:rsidP="008670B4">
      <w:pPr>
        <w:pStyle w:val="a4"/>
        <w:numPr>
          <w:ilvl w:val="0"/>
          <w:numId w:val="14"/>
        </w:numPr>
        <w:ind w:leftChars="0"/>
      </w:pPr>
      <w:r w:rsidRPr="008670B4">
        <w:t xml:space="preserve">RA-RNTI = 1 + </w:t>
      </w:r>
      <w:proofErr w:type="spellStart"/>
      <w:r w:rsidRPr="008670B4">
        <w:t>s_id</w:t>
      </w:r>
      <w:proofErr w:type="spellEnd"/>
      <w:r w:rsidRPr="008670B4">
        <w:t xml:space="preserve"> + 14 × </w:t>
      </w:r>
      <w:proofErr w:type="spellStart"/>
      <w:r w:rsidRPr="008670B4">
        <w:t>t_id</w:t>
      </w:r>
      <w:proofErr w:type="spellEnd"/>
      <w:r w:rsidRPr="008670B4">
        <w:t xml:space="preserve"> + 14 × 80 × </w:t>
      </w:r>
      <w:proofErr w:type="spellStart"/>
      <w:r w:rsidRPr="008670B4">
        <w:t>f_id</w:t>
      </w:r>
      <w:proofErr w:type="spellEnd"/>
      <w:r w:rsidRPr="008670B4">
        <w:t xml:space="preserve"> + 14 × 80 × 8 × </w:t>
      </w:r>
      <w:proofErr w:type="spellStart"/>
      <w:r w:rsidRPr="008670B4">
        <w:t>ul_carrier_id</w:t>
      </w:r>
      <w:proofErr w:type="spellEnd"/>
      <w:r>
        <w:t xml:space="preserve"> </w:t>
      </w:r>
    </w:p>
    <w:p w14:paraId="33CB3418" w14:textId="3BAA0171" w:rsidR="00534129" w:rsidRPr="00FE375F" w:rsidRDefault="00C14E52" w:rsidP="00C02370">
      <w:r>
        <w:t>For example, i</w:t>
      </w:r>
      <w:r w:rsidR="008670B4">
        <w:t xml:space="preserve">f two ROs </w:t>
      </w:r>
      <w:r w:rsidR="00BD5014">
        <w:t>from different</w:t>
      </w:r>
      <w:r w:rsidR="008670B4">
        <w:t xml:space="preserve"> PRACH resources </w:t>
      </w:r>
      <w:r w:rsidR="00BD5014">
        <w:t>are mapped</w:t>
      </w:r>
      <w:r w:rsidR="008670B4">
        <w:t xml:space="preserve"> from the same symbol</w:t>
      </w:r>
      <w:r>
        <w:t>/</w:t>
      </w:r>
      <w:r w:rsidR="008670B4">
        <w:t>slot</w:t>
      </w:r>
      <w:r w:rsidR="00BD5014">
        <w:t xml:space="preserve"> </w:t>
      </w:r>
      <w:r w:rsidR="008670B4">
        <w:t xml:space="preserve">within a radio frame, </w:t>
      </w:r>
      <w:r w:rsidR="00BD5014">
        <w:t>the two ROs would correspond to the same (</w:t>
      </w:r>
      <w:proofErr w:type="spellStart"/>
      <w:r w:rsidR="00BD5014">
        <w:t>t_id</w:t>
      </w:r>
      <w:proofErr w:type="spellEnd"/>
      <w:r w:rsidR="00BD5014">
        <w:t xml:space="preserve">, </w:t>
      </w:r>
      <w:proofErr w:type="spellStart"/>
      <w:r w:rsidR="00BD5014">
        <w:t>f_id</w:t>
      </w:r>
      <w:proofErr w:type="spellEnd"/>
      <w:r w:rsidR="00BD5014">
        <w:t>)</w:t>
      </w:r>
      <w:r>
        <w:t xml:space="preserve">. In that case, UE that transmitted </w:t>
      </w:r>
      <w:r w:rsidR="00AF143B">
        <w:t xml:space="preserve">the msg1 using </w:t>
      </w:r>
      <w:r>
        <w:t xml:space="preserve">one of those ROs would not know whether the </w:t>
      </w:r>
      <w:r w:rsidR="00AF143B">
        <w:t>msg2</w:t>
      </w:r>
      <w:r>
        <w:t xml:space="preserve"> </w:t>
      </w:r>
      <w:r w:rsidR="00AF143B">
        <w:t>corresponds to that chosen RO</w:t>
      </w:r>
      <w:r>
        <w:t>. As a solution to this issue, it can be considered to add the PRACH configuration index to the RA-RNTI equation. Alternatively, some restrictions may be imposed to the RO resource mapping to avoid the above ambiguity.</w:t>
      </w:r>
      <w:r w:rsidR="00FE375F">
        <w:t xml:space="preserve"> Similar ambiguity may exist when checking the RAPID in the RAR.</w:t>
      </w:r>
    </w:p>
    <w:p w14:paraId="0CF5D5CA" w14:textId="3830B8ED" w:rsidR="00C14E52" w:rsidRPr="00C14E52" w:rsidRDefault="00C14E52" w:rsidP="00C02370">
      <w:pPr>
        <w:rPr>
          <w:b/>
        </w:rPr>
      </w:pPr>
      <w:r w:rsidRPr="00C14E52">
        <w:rPr>
          <w:rFonts w:hint="eastAsia"/>
          <w:b/>
        </w:rPr>
        <w:t>P</w:t>
      </w:r>
      <w:r w:rsidRPr="00C14E52">
        <w:rPr>
          <w:b/>
        </w:rPr>
        <w:t xml:space="preserve">roposal </w:t>
      </w:r>
      <w:r w:rsidR="004B40C1">
        <w:rPr>
          <w:b/>
        </w:rPr>
        <w:t>9</w:t>
      </w:r>
      <w:r w:rsidRPr="00C14E52">
        <w:rPr>
          <w:b/>
        </w:rPr>
        <w:t xml:space="preserve">: </w:t>
      </w:r>
      <w:r w:rsidRPr="00AB5362">
        <w:rPr>
          <w:b/>
        </w:rPr>
        <w:t>For PRACH adaptation based on two PRACH resources</w:t>
      </w:r>
      <w:r>
        <w:rPr>
          <w:b/>
        </w:rPr>
        <w:t>, d</w:t>
      </w:r>
      <w:r w:rsidRPr="00C14E52">
        <w:rPr>
          <w:b/>
        </w:rPr>
        <w:t xml:space="preserve">iscuss whether/how to resolve ambiguities </w:t>
      </w:r>
      <w:r w:rsidR="00FE375F">
        <w:rPr>
          <w:b/>
        </w:rPr>
        <w:t>in</w:t>
      </w:r>
      <w:r w:rsidRPr="00C14E52">
        <w:rPr>
          <w:b/>
        </w:rPr>
        <w:t xml:space="preserve"> </w:t>
      </w:r>
      <w:r w:rsidR="00FE375F">
        <w:rPr>
          <w:b/>
        </w:rPr>
        <w:t xml:space="preserve">the </w:t>
      </w:r>
      <w:r w:rsidRPr="00C14E52">
        <w:rPr>
          <w:b/>
        </w:rPr>
        <w:t>RA-RNTI interpretation</w:t>
      </w:r>
      <w:r>
        <w:rPr>
          <w:b/>
        </w:rPr>
        <w:t xml:space="preserve"> </w:t>
      </w:r>
      <w:r w:rsidR="00FE375F">
        <w:rPr>
          <w:b/>
        </w:rPr>
        <w:t>during</w:t>
      </w:r>
      <w:r>
        <w:rPr>
          <w:b/>
        </w:rPr>
        <w:t xml:space="preserve"> </w:t>
      </w:r>
      <w:r w:rsidR="00FE375F">
        <w:rPr>
          <w:b/>
        </w:rPr>
        <w:t xml:space="preserve">the </w:t>
      </w:r>
      <w:r>
        <w:rPr>
          <w:b/>
        </w:rPr>
        <w:t xml:space="preserve">msg2 </w:t>
      </w:r>
      <w:r w:rsidR="00FE375F">
        <w:rPr>
          <w:b/>
        </w:rPr>
        <w:t>reception.</w:t>
      </w:r>
    </w:p>
    <w:p w14:paraId="35831437" w14:textId="62C3D72B" w:rsidR="005B4B57" w:rsidRDefault="005B4B57" w:rsidP="00C02370"/>
    <w:p w14:paraId="5C36E6B5" w14:textId="1D7AB0E5" w:rsidR="00101FEB" w:rsidRDefault="00101FEB" w:rsidP="00101FEB">
      <w:r>
        <w:rPr>
          <w:rFonts w:hint="eastAsia"/>
        </w:rPr>
        <w:t>R</w:t>
      </w:r>
      <w:r>
        <w:t>egarding the SSB-RO mapping, the following was agreed with some FFS points:</w:t>
      </w:r>
    </w:p>
    <w:tbl>
      <w:tblPr>
        <w:tblStyle w:val="a9"/>
        <w:tblW w:w="0" w:type="auto"/>
        <w:tblLook w:val="04A0" w:firstRow="1" w:lastRow="0" w:firstColumn="1" w:lastColumn="0" w:noHBand="0" w:noVBand="1"/>
      </w:tblPr>
      <w:tblGrid>
        <w:gridCol w:w="9288"/>
      </w:tblGrid>
      <w:tr w:rsidR="00101FEB" w14:paraId="143D4E50" w14:textId="77777777" w:rsidTr="00360D4B">
        <w:tc>
          <w:tcPr>
            <w:tcW w:w="9288" w:type="dxa"/>
          </w:tcPr>
          <w:p w14:paraId="413D83D9" w14:textId="77777777" w:rsidR="00101FEB" w:rsidRPr="00BF5BD7" w:rsidRDefault="00101FEB" w:rsidP="00360D4B">
            <w:pPr>
              <w:spacing w:after="0"/>
              <w:rPr>
                <w:b/>
                <w:bCs/>
                <w:highlight w:val="green"/>
                <w:lang w:eastAsia="x-none"/>
              </w:rPr>
            </w:pPr>
            <w:r w:rsidRPr="00BF5BD7">
              <w:rPr>
                <w:b/>
                <w:bCs/>
                <w:highlight w:val="green"/>
                <w:lang w:eastAsia="x-none"/>
              </w:rPr>
              <w:t>Agreement</w:t>
            </w:r>
          </w:p>
          <w:p w14:paraId="6FF7EA5B" w14:textId="77777777" w:rsidR="00101FEB" w:rsidRPr="0063337B" w:rsidRDefault="00101FEB" w:rsidP="00360D4B">
            <w:pPr>
              <w:pStyle w:val="aa"/>
              <w:spacing w:after="0"/>
            </w:pPr>
            <w:r w:rsidRPr="0063337B">
              <w:t xml:space="preserve">For adaptation of PRACH in time-domain, support the following: </w:t>
            </w:r>
          </w:p>
          <w:p w14:paraId="14E68CB0" w14:textId="77777777" w:rsidR="00101FEB" w:rsidRDefault="00101FEB" w:rsidP="00360D4B">
            <w:pPr>
              <w:pStyle w:val="aa"/>
              <w:numPr>
                <w:ilvl w:val="0"/>
                <w:numId w:val="15"/>
              </w:numPr>
              <w:spacing w:after="0"/>
            </w:pPr>
            <w:r w:rsidRPr="0063337B">
              <w:lastRenderedPageBreak/>
              <w:t xml:space="preserve">SSB-RO mapping for the additional PRACH resources </w:t>
            </w:r>
            <w:r>
              <w:t>is separate from the SSB-RO mapping of</w:t>
            </w:r>
            <w:r w:rsidRPr="0063337B">
              <w:t xml:space="preserve"> the PRACH resources for legacy UEs (if any)</w:t>
            </w:r>
          </w:p>
          <w:p w14:paraId="6BAFF781" w14:textId="77777777" w:rsidR="00101FEB" w:rsidRDefault="00101FEB" w:rsidP="00360D4B">
            <w:pPr>
              <w:pStyle w:val="aa"/>
              <w:numPr>
                <w:ilvl w:val="1"/>
                <w:numId w:val="7"/>
              </w:numPr>
              <w:spacing w:after="0"/>
              <w:ind w:left="1080"/>
            </w:pPr>
            <w:r>
              <w:t>FFS: whether/how to handle SSB-RO mapping if the additional PRACH resources overlap in both time and frequency with the PRACH resources for legacy UEs</w:t>
            </w:r>
          </w:p>
          <w:p w14:paraId="58B6F936" w14:textId="77777777" w:rsidR="00101FEB" w:rsidRDefault="00101FEB" w:rsidP="00360D4B">
            <w:pPr>
              <w:pStyle w:val="aa"/>
              <w:numPr>
                <w:ilvl w:val="1"/>
                <w:numId w:val="7"/>
              </w:numPr>
              <w:spacing w:after="0"/>
              <w:ind w:left="1080"/>
            </w:pPr>
            <w:r>
              <w:t>Note:</w:t>
            </w:r>
            <w:r w:rsidRPr="00CD0647">
              <w:t xml:space="preserve"> </w:t>
            </w:r>
            <w:r>
              <w:t>SSB-RO mapping of</w:t>
            </w:r>
            <w:r w:rsidRPr="0063337B">
              <w:t xml:space="preserve"> the PRACH resources for legacy UEs</w:t>
            </w:r>
            <w:r>
              <w:t xml:space="preserve"> is not impacted if Rel-19 UE uses these PRACH resources</w:t>
            </w:r>
          </w:p>
          <w:p w14:paraId="7E837570" w14:textId="77777777" w:rsidR="00101FEB" w:rsidRPr="00822D18" w:rsidRDefault="00101FEB" w:rsidP="00360D4B">
            <w:pPr>
              <w:pStyle w:val="aa"/>
              <w:numPr>
                <w:ilvl w:val="1"/>
                <w:numId w:val="7"/>
              </w:numPr>
              <w:spacing w:after="60"/>
              <w:ind w:left="1077" w:hanging="357"/>
            </w:pPr>
            <w:r>
              <w:t xml:space="preserve">FFS: SSB-RO mapping for the additional PRACH resources </w:t>
            </w:r>
          </w:p>
        </w:tc>
      </w:tr>
    </w:tbl>
    <w:p w14:paraId="0E227D8B" w14:textId="69A1345B" w:rsidR="00101FEB" w:rsidRDefault="00101FEB" w:rsidP="00C02370"/>
    <w:p w14:paraId="7D2A5FAE" w14:textId="58676087" w:rsidR="001F1206" w:rsidRDefault="009365E0" w:rsidP="00C02370">
      <w:r>
        <w:rPr>
          <w:rFonts w:hint="eastAsia"/>
        </w:rPr>
        <w:t>O</w:t>
      </w:r>
      <w:r>
        <w:t>ne issue is whether the same legacy SSB-RO mapping rule is applied for the additional PRACH resource.</w:t>
      </w:r>
      <w:r w:rsidR="00E84332">
        <w:t xml:space="preserve"> </w:t>
      </w:r>
      <w:r w:rsidR="001F1206">
        <w:t xml:space="preserve">In our view, the basic mapping principle should be applied the same, however, perhaps some minor change may be needed if the PRACH spatial domain adaptation is considered. Therefore, this issue may be discussed after reaching a conclusion on the </w:t>
      </w:r>
      <w:r w:rsidR="009C7494">
        <w:t xml:space="preserve">support of </w:t>
      </w:r>
      <w:bookmarkStart w:id="6" w:name="_GoBack"/>
      <w:bookmarkEnd w:id="6"/>
      <w:r w:rsidR="001F1206">
        <w:t>spatial domain adaptation.</w:t>
      </w:r>
    </w:p>
    <w:p w14:paraId="31AE131B" w14:textId="5CB5DC59" w:rsidR="001F1206" w:rsidRPr="00143E94" w:rsidRDefault="001F1206" w:rsidP="00C02370">
      <w:pPr>
        <w:rPr>
          <w:b/>
        </w:rPr>
      </w:pPr>
      <w:r w:rsidRPr="00143E94">
        <w:rPr>
          <w:rFonts w:hint="eastAsia"/>
          <w:b/>
        </w:rPr>
        <w:t>O</w:t>
      </w:r>
      <w:r w:rsidRPr="00143E94">
        <w:rPr>
          <w:b/>
        </w:rPr>
        <w:t xml:space="preserve">bservation 2: For SSB-RO mapping for the additional PRACH resource, </w:t>
      </w:r>
      <w:r w:rsidR="00143E94" w:rsidRPr="00143E94">
        <w:rPr>
          <w:b/>
        </w:rPr>
        <w:t>some minor change may be needed if the PRACH spatial domain adaptation is considered together.</w:t>
      </w:r>
    </w:p>
    <w:p w14:paraId="40607BC2" w14:textId="77777777" w:rsidR="003720CD" w:rsidRDefault="003720CD" w:rsidP="00C02370"/>
    <w:p w14:paraId="73BCA147" w14:textId="2DECF190" w:rsidR="003720CD" w:rsidRPr="003720CD" w:rsidRDefault="003720CD" w:rsidP="00C02370">
      <w:pPr>
        <w:rPr>
          <w:b/>
          <w:u w:val="single"/>
        </w:rPr>
      </w:pPr>
      <w:r w:rsidRPr="003720CD">
        <w:rPr>
          <w:rFonts w:hint="eastAsia"/>
          <w:b/>
          <w:highlight w:val="cyan"/>
          <w:u w:val="single"/>
        </w:rPr>
        <w:t>[</w:t>
      </w:r>
      <w:r w:rsidRPr="003720CD">
        <w:rPr>
          <w:b/>
          <w:highlight w:val="cyan"/>
          <w:u w:val="single"/>
        </w:rPr>
        <w:t>Paging adaptation]</w:t>
      </w:r>
    </w:p>
    <w:p w14:paraId="51AA893B" w14:textId="2A190712" w:rsidR="004529F9" w:rsidRPr="00143E94" w:rsidRDefault="00A40406" w:rsidP="00143E94">
      <w:pPr>
        <w:rPr>
          <w:lang w:val="en-US"/>
        </w:rPr>
      </w:pPr>
      <w:r w:rsidRPr="00143E94">
        <w:rPr>
          <w:lang w:val="en-US"/>
        </w:rPr>
        <w:t xml:space="preserve">RAN2 </w:t>
      </w:r>
      <w:r w:rsidR="00143E94" w:rsidRPr="00143E94">
        <w:rPr>
          <w:lang w:val="en-US"/>
        </w:rPr>
        <w:t>started</w:t>
      </w:r>
      <w:r w:rsidRPr="00143E94">
        <w:rPr>
          <w:lang w:val="en-US"/>
        </w:rPr>
        <w:t xml:space="preserve"> working on </w:t>
      </w:r>
      <w:r w:rsidR="004B40C1" w:rsidRPr="00143E94">
        <w:rPr>
          <w:lang w:val="en-US"/>
        </w:rPr>
        <w:t xml:space="preserve">extending </w:t>
      </w:r>
      <w:r w:rsidRPr="00143E94">
        <w:rPr>
          <w:lang w:val="en-US"/>
        </w:rPr>
        <w:t xml:space="preserve">the </w:t>
      </w:r>
      <w:r w:rsidR="00143E94" w:rsidRPr="00143E94">
        <w:rPr>
          <w:lang w:val="en-US"/>
        </w:rPr>
        <w:t>PO and PF</w:t>
      </w:r>
      <w:r w:rsidR="004B40C1" w:rsidRPr="00143E94">
        <w:rPr>
          <w:lang w:val="en-US"/>
        </w:rPr>
        <w:t xml:space="preserve"> for NES purpose</w:t>
      </w:r>
      <w:r w:rsidR="00143E94" w:rsidRPr="00143E94">
        <w:rPr>
          <w:lang w:val="en-US"/>
        </w:rPr>
        <w:t>, and made some agreements in their last meeting</w:t>
      </w:r>
      <w:r w:rsidRPr="00143E94">
        <w:rPr>
          <w:lang w:val="en-US"/>
        </w:rPr>
        <w:t>.</w:t>
      </w:r>
      <w:r w:rsidR="00733D21" w:rsidRPr="00143E94">
        <w:t xml:space="preserve"> From RAN1 perspective, </w:t>
      </w:r>
      <w:r w:rsidR="00EB6CEB" w:rsidRPr="00143E94">
        <w:t xml:space="preserve">signalling aspects for the PO adaptation can be </w:t>
      </w:r>
      <w:r w:rsidR="00143E94" w:rsidRPr="00143E94">
        <w:t>a main topic</w:t>
      </w:r>
      <w:r w:rsidR="00EB6CEB" w:rsidRPr="00143E94">
        <w:t xml:space="preserve">. </w:t>
      </w:r>
      <w:r w:rsidR="004529F9" w:rsidRPr="00143E94">
        <w:rPr>
          <w:lang w:val="en-US"/>
        </w:rPr>
        <w:t xml:space="preserve">Considering that </w:t>
      </w:r>
      <w:r w:rsidR="00061DA8" w:rsidRPr="00143E94">
        <w:rPr>
          <w:lang w:val="en-US"/>
        </w:rPr>
        <w:t xml:space="preserve">all the UEs in </w:t>
      </w:r>
      <w:r w:rsidR="004529F9" w:rsidRPr="00143E94">
        <w:rPr>
          <w:lang w:val="en-US"/>
        </w:rPr>
        <w:t xml:space="preserve">RRC idle, inactive, </w:t>
      </w:r>
      <w:r w:rsidR="00061DA8" w:rsidRPr="00143E94">
        <w:rPr>
          <w:lang w:val="en-US"/>
        </w:rPr>
        <w:t>and</w:t>
      </w:r>
      <w:r w:rsidR="004529F9" w:rsidRPr="00143E94">
        <w:rPr>
          <w:lang w:val="en-US"/>
        </w:rPr>
        <w:t xml:space="preserve"> connected mode</w:t>
      </w:r>
      <w:r w:rsidR="00061DA8" w:rsidRPr="00143E94">
        <w:rPr>
          <w:lang w:val="en-US"/>
        </w:rPr>
        <w:t>s</w:t>
      </w:r>
      <w:r w:rsidR="000715F7" w:rsidRPr="00143E94">
        <w:rPr>
          <w:lang w:val="en-US"/>
        </w:rPr>
        <w:t xml:space="preserve"> monitor the PO</w:t>
      </w:r>
      <w:r w:rsidR="00F173DF" w:rsidRPr="00143E94">
        <w:rPr>
          <w:lang w:val="en-US"/>
        </w:rPr>
        <w:t>s</w:t>
      </w:r>
      <w:r w:rsidR="004529F9" w:rsidRPr="00143E94">
        <w:rPr>
          <w:lang w:val="en-US"/>
        </w:rPr>
        <w:t xml:space="preserve">, </w:t>
      </w:r>
      <w:r w:rsidR="00061DA8" w:rsidRPr="00143E94">
        <w:rPr>
          <w:lang w:val="en-US"/>
        </w:rPr>
        <w:t>it may be adequate to use a common DCI for the PO adaptation indication. For example, a new common DCI</w:t>
      </w:r>
      <w:r w:rsidR="000715F7" w:rsidRPr="00143E94">
        <w:rPr>
          <w:lang w:val="en-US"/>
        </w:rPr>
        <w:t>,</w:t>
      </w:r>
      <w:r w:rsidR="00061DA8" w:rsidRPr="00143E94">
        <w:rPr>
          <w:lang w:val="en-US"/>
        </w:rPr>
        <w:t xml:space="preserve"> or </w:t>
      </w:r>
      <w:r w:rsidR="00143E94" w:rsidRPr="00143E94">
        <w:rPr>
          <w:lang w:val="en-US"/>
        </w:rPr>
        <w:t xml:space="preserve">a legacy </w:t>
      </w:r>
      <w:r w:rsidR="00061DA8" w:rsidRPr="00143E94">
        <w:rPr>
          <w:lang w:val="en-US"/>
        </w:rPr>
        <w:t xml:space="preserve">paging DCI </w:t>
      </w:r>
      <w:r w:rsidR="00F173DF" w:rsidRPr="00143E94">
        <w:rPr>
          <w:lang w:val="en-US"/>
        </w:rPr>
        <w:t>(i.e., P-RNTI</w:t>
      </w:r>
      <w:r w:rsidR="00143E94" w:rsidRPr="00143E94">
        <w:rPr>
          <w:lang w:val="en-US"/>
        </w:rPr>
        <w:t>, PEI-RNTI</w:t>
      </w:r>
      <w:r w:rsidR="00F173DF" w:rsidRPr="00143E94">
        <w:rPr>
          <w:lang w:val="en-US"/>
        </w:rPr>
        <w:t xml:space="preserve">) </w:t>
      </w:r>
      <w:r w:rsidR="00061DA8" w:rsidRPr="00143E94">
        <w:rPr>
          <w:lang w:val="en-US"/>
        </w:rPr>
        <w:t xml:space="preserve">may be used to </w:t>
      </w:r>
      <w:r w:rsidR="00143E94" w:rsidRPr="00143E94">
        <w:rPr>
          <w:lang w:val="en-US"/>
        </w:rPr>
        <w:t xml:space="preserve">switch, or activate/deactivate a PO configuration. However, this issue can be discussed </w:t>
      </w:r>
      <w:r w:rsidR="00D56114" w:rsidRPr="00143E94">
        <w:rPr>
          <w:lang w:val="en-US"/>
        </w:rPr>
        <w:t>after further progress is made in RAN2 and SSB/PRACH time domain adaptation.</w:t>
      </w:r>
    </w:p>
    <w:p w14:paraId="6EA73003" w14:textId="0880E6CC" w:rsidR="00C7577F" w:rsidRPr="00C7577F" w:rsidRDefault="00C7577F" w:rsidP="00A40406">
      <w:pPr>
        <w:rPr>
          <w:b/>
          <w:lang w:val="en-US"/>
        </w:rPr>
      </w:pPr>
      <w:r w:rsidRPr="00143E94">
        <w:rPr>
          <w:rFonts w:hint="eastAsia"/>
          <w:b/>
          <w:lang w:val="en-US"/>
        </w:rPr>
        <w:t>P</w:t>
      </w:r>
      <w:r w:rsidRPr="00143E94">
        <w:rPr>
          <w:b/>
          <w:lang w:val="en-US"/>
        </w:rPr>
        <w:t>roposal 1</w:t>
      </w:r>
      <w:r w:rsidR="00143E94">
        <w:rPr>
          <w:b/>
          <w:lang w:val="en-US"/>
        </w:rPr>
        <w:t>0</w:t>
      </w:r>
      <w:r w:rsidRPr="00143E94">
        <w:rPr>
          <w:b/>
          <w:lang w:val="en-US"/>
        </w:rPr>
        <w:t xml:space="preserve">: Postpone discussions for paging until further progress is made in RAN2 </w:t>
      </w:r>
      <w:r w:rsidR="00D56114" w:rsidRPr="00143E94">
        <w:rPr>
          <w:b/>
          <w:lang w:val="en-US"/>
        </w:rPr>
        <w:t>and</w:t>
      </w:r>
      <w:r w:rsidRPr="00143E94">
        <w:rPr>
          <w:b/>
          <w:lang w:val="en-US"/>
        </w:rPr>
        <w:t xml:space="preserve"> SSB/PRACH </w:t>
      </w:r>
      <w:r w:rsidR="00D56114" w:rsidRPr="00143E94">
        <w:rPr>
          <w:b/>
          <w:lang w:val="en-US"/>
        </w:rPr>
        <w:t xml:space="preserve">time domain </w:t>
      </w:r>
      <w:r w:rsidRPr="00143E94">
        <w:rPr>
          <w:b/>
          <w:lang w:val="en-US"/>
        </w:rPr>
        <w:t>adaptation.</w:t>
      </w:r>
    </w:p>
    <w:p w14:paraId="3471EA68" w14:textId="77777777" w:rsidR="00201E22" w:rsidRPr="00996037" w:rsidRDefault="00201E22" w:rsidP="00C02370">
      <w:pPr>
        <w:rPr>
          <w:lang w:val="en-US"/>
        </w:rPr>
      </w:pPr>
    </w:p>
    <w:p w14:paraId="4070FC0B" w14:textId="0A88BA80" w:rsidR="00F613CD" w:rsidRPr="009D67ED" w:rsidRDefault="00EC5F3B" w:rsidP="00C02370">
      <w:pPr>
        <w:pStyle w:val="1"/>
      </w:pPr>
      <w:r>
        <w:t>Conclusion</w:t>
      </w:r>
    </w:p>
    <w:p w14:paraId="575B676B" w14:textId="281F68D0" w:rsidR="005E7123" w:rsidRPr="00523F3A" w:rsidRDefault="000E0B10" w:rsidP="00A63B48">
      <w:pPr>
        <w:rPr>
          <w:b/>
        </w:rPr>
      </w:pPr>
      <w:r w:rsidRPr="006C03B2">
        <w:rPr>
          <w:rFonts w:hint="eastAsia"/>
        </w:rPr>
        <w:t>In this contribution,</w:t>
      </w:r>
      <w:r w:rsidR="00201E22">
        <w:t xml:space="preserve"> we discuss our view on potential enhancements for time domain adaptation of SSB, PRACH, and paging. The following observation and proposals are noted.</w:t>
      </w:r>
    </w:p>
    <w:p w14:paraId="08578134" w14:textId="77777777" w:rsidR="00000D04" w:rsidRPr="00AB5362" w:rsidRDefault="00000D04" w:rsidP="00000D04">
      <w:pPr>
        <w:rPr>
          <w:b/>
        </w:rPr>
      </w:pPr>
      <w:r w:rsidRPr="00AB5362">
        <w:rPr>
          <w:rFonts w:hint="eastAsia"/>
          <w:b/>
        </w:rPr>
        <w:t>O</w:t>
      </w:r>
      <w:r w:rsidRPr="00AB5362">
        <w:rPr>
          <w:b/>
        </w:rPr>
        <w:t xml:space="preserve">bservation </w:t>
      </w:r>
      <w:r>
        <w:rPr>
          <w:b/>
        </w:rPr>
        <w:t>1</w:t>
      </w:r>
      <w:r w:rsidRPr="00AB5362">
        <w:rPr>
          <w:b/>
        </w:rPr>
        <w:t xml:space="preserve">: For PRACH adaptation based on two PRACH resources, </w:t>
      </w:r>
      <w:r>
        <w:rPr>
          <w:b/>
        </w:rPr>
        <w:t xml:space="preserve">the legacy operation can still be applied for </w:t>
      </w:r>
      <w:r w:rsidRPr="00AB5362">
        <w:rPr>
          <w:b/>
        </w:rPr>
        <w:t>determin</w:t>
      </w:r>
      <w:r>
        <w:rPr>
          <w:b/>
        </w:rPr>
        <w:t>ing</w:t>
      </w:r>
      <w:r w:rsidRPr="00AB5362">
        <w:rPr>
          <w:b/>
        </w:rPr>
        <w:t xml:space="preserve"> the RAR window </w:t>
      </w:r>
      <w:r>
        <w:rPr>
          <w:b/>
        </w:rPr>
        <w:t>for msg2 reception</w:t>
      </w:r>
      <w:r w:rsidRPr="00AB5362">
        <w:rPr>
          <w:b/>
        </w:rPr>
        <w:t>.</w:t>
      </w:r>
    </w:p>
    <w:p w14:paraId="4EAD9966" w14:textId="77777777" w:rsidR="00143E94" w:rsidRPr="00143E94" w:rsidRDefault="00143E94" w:rsidP="00143E94">
      <w:pPr>
        <w:rPr>
          <w:b/>
        </w:rPr>
      </w:pPr>
      <w:r w:rsidRPr="00143E94">
        <w:rPr>
          <w:rFonts w:hint="eastAsia"/>
          <w:b/>
        </w:rPr>
        <w:t>O</w:t>
      </w:r>
      <w:r w:rsidRPr="00143E94">
        <w:rPr>
          <w:b/>
        </w:rPr>
        <w:t>bservation 2: For SSB-RO mapping for the additional PRACH resource, some minor change may be needed if the PRACH spatial domain adaptation is considered together.</w:t>
      </w:r>
    </w:p>
    <w:p w14:paraId="61322254" w14:textId="77777777" w:rsidR="00000D04" w:rsidRPr="00143E94" w:rsidRDefault="00000D04" w:rsidP="00E43CF0">
      <w:pPr>
        <w:rPr>
          <w:b/>
        </w:rPr>
      </w:pPr>
    </w:p>
    <w:p w14:paraId="608BCFAD" w14:textId="200454B3" w:rsidR="00E43CF0" w:rsidRDefault="00E43CF0" w:rsidP="00E43CF0">
      <w:pPr>
        <w:rPr>
          <w:b/>
        </w:rPr>
      </w:pPr>
      <w:r>
        <w:rPr>
          <w:b/>
        </w:rPr>
        <w:t>Proposal 1: For SSB time domain adaptation, for the scenario</w:t>
      </w:r>
      <w:r w:rsidRPr="00187F4C">
        <w:rPr>
          <w:b/>
        </w:rPr>
        <w:t xml:space="preserve"> </w:t>
      </w:r>
      <w:r>
        <w:rPr>
          <w:b/>
        </w:rPr>
        <w:t>“</w:t>
      </w:r>
      <w:r w:rsidRPr="00187F4C">
        <w:rPr>
          <w:b/>
        </w:rPr>
        <w:t>cell with both legacy UEs and Rel-19 NES-capable UEs</w:t>
      </w:r>
      <w:r>
        <w:rPr>
          <w:b/>
        </w:rPr>
        <w:t>” in the previous agreement, clarify that the legacy UEs are RRC connected mode UEs.</w:t>
      </w:r>
    </w:p>
    <w:p w14:paraId="6EAB18B4" w14:textId="77777777" w:rsidR="00E43CF0" w:rsidRDefault="00E43CF0" w:rsidP="00E43CF0">
      <w:pPr>
        <w:rPr>
          <w:b/>
        </w:rPr>
      </w:pPr>
      <w:r>
        <w:rPr>
          <w:rFonts w:hint="eastAsia"/>
          <w:b/>
        </w:rPr>
        <w:t>P</w:t>
      </w:r>
      <w:r>
        <w:rPr>
          <w:b/>
        </w:rPr>
        <w:t>roposal 2: For SSB time domain adaptation, do not consider a scenario where legacy idle/inactive mode UEs are camping on a NES cell.</w:t>
      </w:r>
    </w:p>
    <w:p w14:paraId="5053B924" w14:textId="2C09350C" w:rsidR="00FD65AE" w:rsidRPr="00130B0D" w:rsidRDefault="00FD65AE" w:rsidP="00FD65AE">
      <w:pPr>
        <w:spacing w:after="60"/>
        <w:rPr>
          <w:b/>
        </w:rPr>
      </w:pPr>
      <w:r w:rsidRPr="00130B0D">
        <w:rPr>
          <w:rFonts w:hint="eastAsia"/>
          <w:b/>
        </w:rPr>
        <w:t>P</w:t>
      </w:r>
      <w:r w:rsidRPr="00130B0D">
        <w:rPr>
          <w:b/>
        </w:rPr>
        <w:t xml:space="preserve">roposal </w:t>
      </w:r>
      <w:r>
        <w:rPr>
          <w:b/>
        </w:rPr>
        <w:t>3</w:t>
      </w:r>
      <w:r w:rsidRPr="00130B0D">
        <w:rPr>
          <w:b/>
        </w:rPr>
        <w:t xml:space="preserve">: </w:t>
      </w:r>
      <w:r>
        <w:rPr>
          <w:b/>
        </w:rPr>
        <w:t>Irrespective of whether the legacy UEs are present or not in a NES cell, SSB time domain adaptation is s</w:t>
      </w:r>
      <w:r w:rsidRPr="00130B0D">
        <w:rPr>
          <w:b/>
        </w:rPr>
        <w:t>upport</w:t>
      </w:r>
      <w:r>
        <w:rPr>
          <w:b/>
        </w:rPr>
        <w:t xml:space="preserve">ed for the following </w:t>
      </w:r>
      <w:r w:rsidR="00C51FC3">
        <w:rPr>
          <w:b/>
        </w:rPr>
        <w:t xml:space="preserve">Rel-19 </w:t>
      </w:r>
      <w:r>
        <w:rPr>
          <w:b/>
        </w:rPr>
        <w:t>UEs:</w:t>
      </w:r>
    </w:p>
    <w:p w14:paraId="36F272A5" w14:textId="77777777" w:rsidR="00FD65AE" w:rsidRPr="00822D18" w:rsidRDefault="00FD65AE" w:rsidP="00FD65AE">
      <w:pPr>
        <w:pStyle w:val="a4"/>
        <w:numPr>
          <w:ilvl w:val="0"/>
          <w:numId w:val="17"/>
        </w:numPr>
        <w:spacing w:after="60"/>
        <w:ind w:leftChars="0"/>
        <w:rPr>
          <w:b/>
        </w:rPr>
      </w:pPr>
      <w:r w:rsidRPr="00822D18">
        <w:rPr>
          <w:b/>
        </w:rPr>
        <w:lastRenderedPageBreak/>
        <w:t>Rel-19 NES-capable UE in idle/inactive mode</w:t>
      </w:r>
    </w:p>
    <w:p w14:paraId="0E24F23F" w14:textId="77777777" w:rsidR="00FD65AE" w:rsidRPr="00822D18" w:rsidRDefault="00FD65AE" w:rsidP="00FD65AE">
      <w:pPr>
        <w:pStyle w:val="a4"/>
        <w:numPr>
          <w:ilvl w:val="0"/>
          <w:numId w:val="17"/>
        </w:numPr>
        <w:spacing w:after="60"/>
        <w:ind w:leftChars="0"/>
        <w:rPr>
          <w:b/>
        </w:rPr>
      </w:pPr>
      <w:r w:rsidRPr="00822D18">
        <w:rPr>
          <w:b/>
        </w:rPr>
        <w:t xml:space="preserve">Rel-19 NES-capable UE’s </w:t>
      </w:r>
      <w:proofErr w:type="spellStart"/>
      <w:r w:rsidRPr="00822D18">
        <w:rPr>
          <w:b/>
        </w:rPr>
        <w:t>PCell</w:t>
      </w:r>
      <w:proofErr w:type="spellEnd"/>
      <w:r w:rsidRPr="00822D18">
        <w:rPr>
          <w:b/>
        </w:rPr>
        <w:t xml:space="preserve"> (Connected mode)</w:t>
      </w:r>
    </w:p>
    <w:p w14:paraId="3A6E073F" w14:textId="033A8DA9" w:rsidR="00FD65AE" w:rsidRPr="00822D18" w:rsidRDefault="00FD65AE" w:rsidP="00FD65AE">
      <w:pPr>
        <w:pStyle w:val="a4"/>
        <w:numPr>
          <w:ilvl w:val="0"/>
          <w:numId w:val="17"/>
        </w:numPr>
        <w:ind w:leftChars="0"/>
        <w:rPr>
          <w:b/>
        </w:rPr>
      </w:pPr>
      <w:r w:rsidRPr="00822D18">
        <w:rPr>
          <w:b/>
        </w:rPr>
        <w:t xml:space="preserve">Rel-19 NES-capable UE’s </w:t>
      </w:r>
      <w:proofErr w:type="spellStart"/>
      <w:r w:rsidRPr="00822D18">
        <w:rPr>
          <w:b/>
        </w:rPr>
        <w:t>SCell</w:t>
      </w:r>
      <w:proofErr w:type="spellEnd"/>
    </w:p>
    <w:p w14:paraId="2A18C3BF" w14:textId="77777777" w:rsidR="00FD65AE" w:rsidRDefault="00FD65AE" w:rsidP="00FD65AE">
      <w:pPr>
        <w:rPr>
          <w:b/>
        </w:rPr>
      </w:pPr>
      <w:r w:rsidRPr="00187F4C">
        <w:rPr>
          <w:rFonts w:hint="eastAsia"/>
          <w:b/>
        </w:rPr>
        <w:t>P</w:t>
      </w:r>
      <w:r w:rsidRPr="00187F4C">
        <w:rPr>
          <w:b/>
        </w:rPr>
        <w:t xml:space="preserve">roposal 4: Support </w:t>
      </w:r>
      <w:r>
        <w:rPr>
          <w:b/>
        </w:rPr>
        <w:t xml:space="preserve">time domain </w:t>
      </w:r>
      <w:r w:rsidRPr="00187F4C">
        <w:rPr>
          <w:b/>
        </w:rPr>
        <w:t>adaptation of CD-SSB.</w:t>
      </w:r>
    </w:p>
    <w:p w14:paraId="131A3149" w14:textId="77777777" w:rsidR="00FD65AE" w:rsidRPr="002134BF" w:rsidRDefault="00FD65AE" w:rsidP="00FD65AE">
      <w:pPr>
        <w:rPr>
          <w:b/>
        </w:rPr>
      </w:pPr>
      <w:r>
        <w:rPr>
          <w:b/>
        </w:rPr>
        <w:t>Proposal 5: The periodicity of CD-SSB can be adapted based on DCI indication.</w:t>
      </w:r>
    </w:p>
    <w:p w14:paraId="6C667F52" w14:textId="77777777" w:rsidR="00CA5C53" w:rsidRDefault="00CA5C53" w:rsidP="00CA5C53">
      <w:pPr>
        <w:rPr>
          <w:b/>
        </w:rPr>
      </w:pPr>
      <w:r w:rsidRPr="00037854">
        <w:rPr>
          <w:rFonts w:hint="eastAsia"/>
          <w:b/>
        </w:rPr>
        <w:t>P</w:t>
      </w:r>
      <w:r w:rsidRPr="00037854">
        <w:rPr>
          <w:b/>
        </w:rPr>
        <w:t xml:space="preserve">roposal </w:t>
      </w:r>
      <w:r>
        <w:rPr>
          <w:b/>
        </w:rPr>
        <w:t>6</w:t>
      </w:r>
      <w:r w:rsidRPr="00037854">
        <w:rPr>
          <w:b/>
        </w:rPr>
        <w:t xml:space="preserve">: </w:t>
      </w:r>
      <w:r w:rsidRPr="00AB5362">
        <w:rPr>
          <w:b/>
        </w:rPr>
        <w:t>For PRACH adaptation based on two PRACH resources</w:t>
      </w:r>
      <w:r>
        <w:rPr>
          <w:b/>
        </w:rPr>
        <w:t>, study how much configuration flexibility is allowed across the legacy PRACH resource and the additional PRACH resource (e.g., PRACH configuration index, periodicity, overlap).</w:t>
      </w:r>
    </w:p>
    <w:p w14:paraId="332F57F0" w14:textId="77777777" w:rsidR="00CA5C53" w:rsidRPr="00037854" w:rsidRDefault="00CA5C53" w:rsidP="00CA5C53">
      <w:pPr>
        <w:rPr>
          <w:b/>
        </w:rPr>
      </w:pPr>
      <w:r>
        <w:rPr>
          <w:rFonts w:hint="eastAsia"/>
          <w:b/>
        </w:rPr>
        <w:t>P</w:t>
      </w:r>
      <w:r>
        <w:rPr>
          <w:b/>
        </w:rPr>
        <w:t xml:space="preserve">roposal 7: </w:t>
      </w:r>
      <w:r w:rsidRPr="00AB5362">
        <w:rPr>
          <w:b/>
        </w:rPr>
        <w:t>For PRACH adaptation based on two PRACH resources</w:t>
      </w:r>
      <w:r>
        <w:rPr>
          <w:b/>
        </w:rPr>
        <w:t>, configuration information of additional PRACH resource is included in SIB.</w:t>
      </w:r>
    </w:p>
    <w:p w14:paraId="7A4D1F53" w14:textId="77777777" w:rsidR="00000D04" w:rsidRPr="0034252F" w:rsidRDefault="00000D04" w:rsidP="00000D04">
      <w:pPr>
        <w:rPr>
          <w:b/>
          <w:bCs/>
        </w:rPr>
      </w:pPr>
      <w:r w:rsidRPr="0034252F">
        <w:rPr>
          <w:b/>
          <w:bCs/>
        </w:rPr>
        <w:t xml:space="preserve">Proposal </w:t>
      </w:r>
      <w:r>
        <w:rPr>
          <w:b/>
          <w:bCs/>
        </w:rPr>
        <w:t>8</w:t>
      </w:r>
      <w:r w:rsidRPr="0034252F">
        <w:rPr>
          <w:b/>
          <w:bCs/>
        </w:rPr>
        <w:t xml:space="preserve">: When </w:t>
      </w:r>
      <w:r>
        <w:rPr>
          <w:b/>
          <w:bCs/>
        </w:rPr>
        <w:t xml:space="preserve">both </w:t>
      </w:r>
      <w:r w:rsidRPr="0034252F">
        <w:rPr>
          <w:b/>
          <w:bCs/>
        </w:rPr>
        <w:t xml:space="preserve">two PRACH resources are available, UE can choose one of </w:t>
      </w:r>
      <w:r>
        <w:rPr>
          <w:b/>
          <w:bCs/>
        </w:rPr>
        <w:t>the two PRACH resources</w:t>
      </w:r>
      <w:r w:rsidRPr="0034252F">
        <w:rPr>
          <w:b/>
          <w:bCs/>
        </w:rPr>
        <w:t xml:space="preserve"> based on priority.</w:t>
      </w:r>
    </w:p>
    <w:p w14:paraId="79C0D4AD" w14:textId="77777777" w:rsidR="00C544F8" w:rsidRPr="00C14E52" w:rsidRDefault="00C544F8" w:rsidP="00C544F8">
      <w:pPr>
        <w:rPr>
          <w:b/>
        </w:rPr>
      </w:pPr>
      <w:r w:rsidRPr="00C14E52">
        <w:rPr>
          <w:rFonts w:hint="eastAsia"/>
          <w:b/>
        </w:rPr>
        <w:t>P</w:t>
      </w:r>
      <w:r w:rsidRPr="00C14E52">
        <w:rPr>
          <w:b/>
        </w:rPr>
        <w:t xml:space="preserve">roposal </w:t>
      </w:r>
      <w:r>
        <w:rPr>
          <w:b/>
        </w:rPr>
        <w:t>9</w:t>
      </w:r>
      <w:r w:rsidRPr="00C14E52">
        <w:rPr>
          <w:b/>
        </w:rPr>
        <w:t xml:space="preserve">: </w:t>
      </w:r>
      <w:r w:rsidRPr="00AB5362">
        <w:rPr>
          <w:b/>
        </w:rPr>
        <w:t>For PRACH adaptation based on two PRACH resources</w:t>
      </w:r>
      <w:r>
        <w:rPr>
          <w:b/>
        </w:rPr>
        <w:t>, d</w:t>
      </w:r>
      <w:r w:rsidRPr="00C14E52">
        <w:rPr>
          <w:b/>
        </w:rPr>
        <w:t xml:space="preserve">iscuss whether/how to resolve ambiguities </w:t>
      </w:r>
      <w:r>
        <w:rPr>
          <w:b/>
        </w:rPr>
        <w:t>in</w:t>
      </w:r>
      <w:r w:rsidRPr="00C14E52">
        <w:rPr>
          <w:b/>
        </w:rPr>
        <w:t xml:space="preserve"> </w:t>
      </w:r>
      <w:r>
        <w:rPr>
          <w:b/>
        </w:rPr>
        <w:t xml:space="preserve">the </w:t>
      </w:r>
      <w:r w:rsidRPr="00C14E52">
        <w:rPr>
          <w:b/>
        </w:rPr>
        <w:t>RA-RNTI interpretation</w:t>
      </w:r>
      <w:r>
        <w:rPr>
          <w:b/>
        </w:rPr>
        <w:t xml:space="preserve"> during the msg2 reception.</w:t>
      </w:r>
    </w:p>
    <w:p w14:paraId="3BA3DC1C" w14:textId="68D55FDD" w:rsidR="00143E94" w:rsidRPr="00C7577F" w:rsidRDefault="00143E94" w:rsidP="00143E94">
      <w:pPr>
        <w:rPr>
          <w:b/>
          <w:lang w:val="en-US"/>
        </w:rPr>
      </w:pPr>
      <w:r w:rsidRPr="00143E94">
        <w:rPr>
          <w:rFonts w:hint="eastAsia"/>
          <w:b/>
          <w:lang w:val="en-US"/>
        </w:rPr>
        <w:t>P</w:t>
      </w:r>
      <w:r w:rsidRPr="00143E94">
        <w:rPr>
          <w:b/>
          <w:lang w:val="en-US"/>
        </w:rPr>
        <w:t>roposal 1</w:t>
      </w:r>
      <w:r>
        <w:rPr>
          <w:b/>
          <w:lang w:val="en-US"/>
        </w:rPr>
        <w:t>0</w:t>
      </w:r>
      <w:r w:rsidRPr="00143E94">
        <w:rPr>
          <w:b/>
          <w:lang w:val="en-US"/>
        </w:rPr>
        <w:t>: Postpone discussions for paging until further progress is made in RAN2 and SSB/PRACH time domain adaptation.</w:t>
      </w:r>
    </w:p>
    <w:p w14:paraId="43616E8A" w14:textId="77777777" w:rsidR="00A40406" w:rsidRPr="008B68EC" w:rsidRDefault="00A40406" w:rsidP="008B68EC"/>
    <w:p w14:paraId="2A04AB50" w14:textId="77777777" w:rsidR="00491D04" w:rsidRPr="00A75F19" w:rsidRDefault="00491D04" w:rsidP="00C02370">
      <w:pPr>
        <w:pStyle w:val="1"/>
      </w:pPr>
      <w:r w:rsidRPr="00A75F19">
        <w:t>References</w:t>
      </w:r>
    </w:p>
    <w:p w14:paraId="506D7D19" w14:textId="77777777" w:rsidR="003720CD" w:rsidRDefault="003720CD" w:rsidP="003720CD">
      <w:pPr>
        <w:spacing w:after="60"/>
      </w:pPr>
      <w:r>
        <w:rPr>
          <w:rFonts w:hint="eastAsia"/>
        </w:rPr>
        <w:t>[</w:t>
      </w:r>
      <w:r>
        <w:t>1] Chair’s Notes RAN1#116bis.</w:t>
      </w:r>
    </w:p>
    <w:p w14:paraId="28FD0FF8" w14:textId="071AFFBC" w:rsidR="00C8089A" w:rsidRPr="00870047" w:rsidRDefault="00870047" w:rsidP="00870047">
      <w:pPr>
        <w:spacing w:after="60"/>
        <w:rPr>
          <w:rFonts w:hint="eastAsia"/>
          <w:lang w:val="en-US"/>
        </w:rPr>
      </w:pPr>
      <w:r w:rsidRPr="00640C4C">
        <w:rPr>
          <w:rFonts w:hint="eastAsia"/>
          <w:lang w:val="en-US"/>
        </w:rPr>
        <w:t>[</w:t>
      </w:r>
      <w:r w:rsidRPr="00640C4C">
        <w:rPr>
          <w:lang w:val="en-US"/>
        </w:rPr>
        <w:t>2] Draft RAN2#125bis Meeting Report.</w:t>
      </w:r>
    </w:p>
    <w:sectPr w:rsidR="00C8089A" w:rsidRPr="00870047" w:rsidSect="00260FD7">
      <w:footerReference w:type="default" r:id="rId11"/>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3CC4" w14:textId="77777777" w:rsidR="00420307" w:rsidRDefault="00420307" w:rsidP="00C02370">
      <w:r>
        <w:separator/>
      </w:r>
    </w:p>
    <w:p w14:paraId="27FA31ED" w14:textId="77777777" w:rsidR="00420307" w:rsidRDefault="00420307" w:rsidP="00C02370"/>
  </w:endnote>
  <w:endnote w:type="continuationSeparator" w:id="0">
    <w:p w14:paraId="4FD825C2" w14:textId="77777777" w:rsidR="00420307" w:rsidRDefault="00420307" w:rsidP="00C02370">
      <w:r>
        <w:continuationSeparator/>
      </w:r>
    </w:p>
    <w:p w14:paraId="322D6A0E" w14:textId="77777777" w:rsidR="00420307" w:rsidRDefault="00420307"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420307"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CCA20" w14:textId="77777777" w:rsidR="00420307" w:rsidRDefault="00420307" w:rsidP="00C02370">
      <w:r>
        <w:separator/>
      </w:r>
    </w:p>
    <w:p w14:paraId="69E308D0" w14:textId="77777777" w:rsidR="00420307" w:rsidRDefault="00420307" w:rsidP="00C02370"/>
  </w:footnote>
  <w:footnote w:type="continuationSeparator" w:id="0">
    <w:p w14:paraId="3EC72EA3" w14:textId="77777777" w:rsidR="00420307" w:rsidRDefault="00420307" w:rsidP="00C02370">
      <w:r>
        <w:continuationSeparator/>
      </w:r>
    </w:p>
    <w:p w14:paraId="7A54F901" w14:textId="77777777" w:rsidR="00420307" w:rsidRDefault="00420307"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E45223"/>
    <w:multiLevelType w:val="hybridMultilevel"/>
    <w:tmpl w:val="9E3279C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30850"/>
    <w:multiLevelType w:val="hybridMultilevel"/>
    <w:tmpl w:val="36E69D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1D7D09A7"/>
    <w:multiLevelType w:val="hybridMultilevel"/>
    <w:tmpl w:val="197024E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41FD3"/>
    <w:multiLevelType w:val="hybridMultilevel"/>
    <w:tmpl w:val="14A8F8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C5052BD"/>
    <w:multiLevelType w:val="hybridMultilevel"/>
    <w:tmpl w:val="1B2E123C"/>
    <w:lvl w:ilvl="0" w:tplc="04090001">
      <w:start w:val="1"/>
      <w:numFmt w:val="bullet"/>
      <w:lvlText w:val=""/>
      <w:lvlJc w:val="left"/>
      <w:pPr>
        <w:ind w:left="800" w:hanging="400"/>
      </w:pPr>
      <w:rPr>
        <w:rFonts w:ascii="Symbol" w:hAnsi="Symbol" w:hint="default"/>
      </w:rPr>
    </w:lvl>
    <w:lvl w:ilvl="1" w:tplc="E376A72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0173A36"/>
    <w:multiLevelType w:val="hybridMultilevel"/>
    <w:tmpl w:val="DCEE0F2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F62F54"/>
    <w:multiLevelType w:val="hybridMultilevel"/>
    <w:tmpl w:val="3FE6BF0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E41CFF"/>
    <w:multiLevelType w:val="hybridMultilevel"/>
    <w:tmpl w:val="3964FE0E"/>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B2724"/>
    <w:multiLevelType w:val="hybridMultilevel"/>
    <w:tmpl w:val="892ABA3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F844526"/>
    <w:multiLevelType w:val="hybridMultilevel"/>
    <w:tmpl w:val="F50ECB9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5"/>
  </w:num>
  <w:num w:numId="3">
    <w:abstractNumId w:val="6"/>
  </w:num>
  <w:num w:numId="4">
    <w:abstractNumId w:val="11"/>
  </w:num>
  <w:num w:numId="5">
    <w:abstractNumId w:val="0"/>
  </w:num>
  <w:num w:numId="6">
    <w:abstractNumId w:val="15"/>
  </w:num>
  <w:num w:numId="7">
    <w:abstractNumId w:val="1"/>
  </w:num>
  <w:num w:numId="8">
    <w:abstractNumId w:val="8"/>
  </w:num>
  <w:num w:numId="9">
    <w:abstractNumId w:val="4"/>
  </w:num>
  <w:num w:numId="10">
    <w:abstractNumId w:val="7"/>
  </w:num>
  <w:num w:numId="11">
    <w:abstractNumId w:val="17"/>
  </w:num>
  <w:num w:numId="12">
    <w:abstractNumId w:val="14"/>
  </w:num>
  <w:num w:numId="13">
    <w:abstractNumId w:val="16"/>
  </w:num>
  <w:num w:numId="14">
    <w:abstractNumId w:val="13"/>
  </w:num>
  <w:num w:numId="15">
    <w:abstractNumId w:val="9"/>
  </w:num>
  <w:num w:numId="16">
    <w:abstractNumId w:val="10"/>
  </w:num>
  <w:num w:numId="17">
    <w:abstractNumId w:val="12"/>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5CC"/>
    <w:rsid w:val="00057DDB"/>
    <w:rsid w:val="00057F7F"/>
    <w:rsid w:val="000601E9"/>
    <w:rsid w:val="00060D8C"/>
    <w:rsid w:val="00061359"/>
    <w:rsid w:val="000619A3"/>
    <w:rsid w:val="00061DA8"/>
    <w:rsid w:val="00061F3F"/>
    <w:rsid w:val="000625AD"/>
    <w:rsid w:val="00062E35"/>
    <w:rsid w:val="00064899"/>
    <w:rsid w:val="00064FBC"/>
    <w:rsid w:val="0006554E"/>
    <w:rsid w:val="000657E6"/>
    <w:rsid w:val="00066CD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2093"/>
    <w:rsid w:val="000821DA"/>
    <w:rsid w:val="0008260C"/>
    <w:rsid w:val="00083058"/>
    <w:rsid w:val="00083EE4"/>
    <w:rsid w:val="00084C2C"/>
    <w:rsid w:val="00084F5A"/>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5BC"/>
    <w:rsid w:val="000C4AC7"/>
    <w:rsid w:val="000C4DB8"/>
    <w:rsid w:val="000C596F"/>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4237"/>
    <w:rsid w:val="0011490F"/>
    <w:rsid w:val="00114CCB"/>
    <w:rsid w:val="00114E27"/>
    <w:rsid w:val="00115A10"/>
    <w:rsid w:val="00115B6E"/>
    <w:rsid w:val="00116095"/>
    <w:rsid w:val="001164DE"/>
    <w:rsid w:val="001166ED"/>
    <w:rsid w:val="001173BB"/>
    <w:rsid w:val="00117CD7"/>
    <w:rsid w:val="00120370"/>
    <w:rsid w:val="00120770"/>
    <w:rsid w:val="00121540"/>
    <w:rsid w:val="00121ABD"/>
    <w:rsid w:val="00121C9E"/>
    <w:rsid w:val="00122465"/>
    <w:rsid w:val="0012373B"/>
    <w:rsid w:val="00123A70"/>
    <w:rsid w:val="00123F77"/>
    <w:rsid w:val="00124FAE"/>
    <w:rsid w:val="00125B29"/>
    <w:rsid w:val="00125C2A"/>
    <w:rsid w:val="00125F95"/>
    <w:rsid w:val="0012610F"/>
    <w:rsid w:val="001261F1"/>
    <w:rsid w:val="0012694A"/>
    <w:rsid w:val="00126E7A"/>
    <w:rsid w:val="0012711D"/>
    <w:rsid w:val="0012723D"/>
    <w:rsid w:val="001306B8"/>
    <w:rsid w:val="001306C9"/>
    <w:rsid w:val="00130B0D"/>
    <w:rsid w:val="00130D40"/>
    <w:rsid w:val="0013181A"/>
    <w:rsid w:val="001323A3"/>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86F57"/>
    <w:rsid w:val="00187A36"/>
    <w:rsid w:val="00187F4C"/>
    <w:rsid w:val="0019003D"/>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AFA"/>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C14"/>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9CC"/>
    <w:rsid w:val="002E1F2C"/>
    <w:rsid w:val="002E22B1"/>
    <w:rsid w:val="002E2EEF"/>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6B3"/>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6C8"/>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0E3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586"/>
    <w:rsid w:val="003619C1"/>
    <w:rsid w:val="00362181"/>
    <w:rsid w:val="003624F4"/>
    <w:rsid w:val="00362D9E"/>
    <w:rsid w:val="003636C1"/>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0CD"/>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34BA"/>
    <w:rsid w:val="00383578"/>
    <w:rsid w:val="00383815"/>
    <w:rsid w:val="00383F90"/>
    <w:rsid w:val="00384274"/>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F20"/>
    <w:rsid w:val="00417981"/>
    <w:rsid w:val="00417C90"/>
    <w:rsid w:val="00417E0F"/>
    <w:rsid w:val="00420307"/>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1288"/>
    <w:rsid w:val="00451FA9"/>
    <w:rsid w:val="0045288E"/>
    <w:rsid w:val="004529F9"/>
    <w:rsid w:val="00452CCA"/>
    <w:rsid w:val="00452E29"/>
    <w:rsid w:val="004536F1"/>
    <w:rsid w:val="0045385C"/>
    <w:rsid w:val="00453FEF"/>
    <w:rsid w:val="0045425C"/>
    <w:rsid w:val="00454DAB"/>
    <w:rsid w:val="00454FE7"/>
    <w:rsid w:val="00455856"/>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56DF"/>
    <w:rsid w:val="00495BDD"/>
    <w:rsid w:val="0049631D"/>
    <w:rsid w:val="00496459"/>
    <w:rsid w:val="004966F1"/>
    <w:rsid w:val="00496DDD"/>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0C1"/>
    <w:rsid w:val="004B4210"/>
    <w:rsid w:val="004B426E"/>
    <w:rsid w:val="004B4DE6"/>
    <w:rsid w:val="004B4E2C"/>
    <w:rsid w:val="004B5138"/>
    <w:rsid w:val="004B5739"/>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36"/>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9E"/>
    <w:rsid w:val="0054488E"/>
    <w:rsid w:val="00544CEC"/>
    <w:rsid w:val="0054573F"/>
    <w:rsid w:val="00545A8E"/>
    <w:rsid w:val="00545AEB"/>
    <w:rsid w:val="00545BC7"/>
    <w:rsid w:val="00546538"/>
    <w:rsid w:val="00546955"/>
    <w:rsid w:val="00546DAC"/>
    <w:rsid w:val="00547427"/>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6E79"/>
    <w:rsid w:val="00587D9A"/>
    <w:rsid w:val="00590751"/>
    <w:rsid w:val="00590F3F"/>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B79"/>
    <w:rsid w:val="005F7FFC"/>
    <w:rsid w:val="00600074"/>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CF3"/>
    <w:rsid w:val="006567A5"/>
    <w:rsid w:val="00656C19"/>
    <w:rsid w:val="00656C77"/>
    <w:rsid w:val="0065794D"/>
    <w:rsid w:val="00657951"/>
    <w:rsid w:val="0065796F"/>
    <w:rsid w:val="00657A49"/>
    <w:rsid w:val="006605F5"/>
    <w:rsid w:val="00660621"/>
    <w:rsid w:val="00661063"/>
    <w:rsid w:val="006615DD"/>
    <w:rsid w:val="006618CA"/>
    <w:rsid w:val="00661B1A"/>
    <w:rsid w:val="00662418"/>
    <w:rsid w:val="006631CA"/>
    <w:rsid w:val="00663349"/>
    <w:rsid w:val="00663D2E"/>
    <w:rsid w:val="00664196"/>
    <w:rsid w:val="00664B1D"/>
    <w:rsid w:val="00664E32"/>
    <w:rsid w:val="00664EA5"/>
    <w:rsid w:val="00664FF2"/>
    <w:rsid w:val="00665AD7"/>
    <w:rsid w:val="00665CB7"/>
    <w:rsid w:val="006667EA"/>
    <w:rsid w:val="006669F9"/>
    <w:rsid w:val="00666E51"/>
    <w:rsid w:val="0066751E"/>
    <w:rsid w:val="00667787"/>
    <w:rsid w:val="0066778E"/>
    <w:rsid w:val="006678C9"/>
    <w:rsid w:val="00670099"/>
    <w:rsid w:val="006707EC"/>
    <w:rsid w:val="006709EF"/>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11EF"/>
    <w:rsid w:val="00681344"/>
    <w:rsid w:val="00681C1E"/>
    <w:rsid w:val="00682C3F"/>
    <w:rsid w:val="0068370D"/>
    <w:rsid w:val="00683902"/>
    <w:rsid w:val="00683B0A"/>
    <w:rsid w:val="00683B76"/>
    <w:rsid w:val="0068418F"/>
    <w:rsid w:val="00684AE5"/>
    <w:rsid w:val="0068526B"/>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43B"/>
    <w:rsid w:val="006C1A8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02"/>
    <w:rsid w:val="006E181F"/>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6B4"/>
    <w:rsid w:val="00735B3E"/>
    <w:rsid w:val="00736588"/>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6BAD"/>
    <w:rsid w:val="00787CB7"/>
    <w:rsid w:val="00787EB7"/>
    <w:rsid w:val="0079040C"/>
    <w:rsid w:val="00790925"/>
    <w:rsid w:val="00791DE6"/>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60F7"/>
    <w:rsid w:val="007A6320"/>
    <w:rsid w:val="007A6C15"/>
    <w:rsid w:val="007A6CBF"/>
    <w:rsid w:val="007A7B9E"/>
    <w:rsid w:val="007A7F13"/>
    <w:rsid w:val="007A7F2A"/>
    <w:rsid w:val="007A7F31"/>
    <w:rsid w:val="007B09FA"/>
    <w:rsid w:val="007B0D60"/>
    <w:rsid w:val="007B1A9E"/>
    <w:rsid w:val="007B1FD7"/>
    <w:rsid w:val="007B236A"/>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15D6"/>
    <w:rsid w:val="00812693"/>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4A"/>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AC9"/>
    <w:rsid w:val="00854C91"/>
    <w:rsid w:val="00854CE5"/>
    <w:rsid w:val="00855061"/>
    <w:rsid w:val="00855504"/>
    <w:rsid w:val="00855EF0"/>
    <w:rsid w:val="00857625"/>
    <w:rsid w:val="00857EE5"/>
    <w:rsid w:val="008607DC"/>
    <w:rsid w:val="008608EF"/>
    <w:rsid w:val="00860E09"/>
    <w:rsid w:val="00860FE2"/>
    <w:rsid w:val="00862136"/>
    <w:rsid w:val="008621A2"/>
    <w:rsid w:val="008622B5"/>
    <w:rsid w:val="008623CA"/>
    <w:rsid w:val="00862A13"/>
    <w:rsid w:val="00862CB8"/>
    <w:rsid w:val="00864099"/>
    <w:rsid w:val="0086417D"/>
    <w:rsid w:val="00864D8A"/>
    <w:rsid w:val="00865002"/>
    <w:rsid w:val="008651C0"/>
    <w:rsid w:val="008655BE"/>
    <w:rsid w:val="00865F99"/>
    <w:rsid w:val="00866129"/>
    <w:rsid w:val="008661C9"/>
    <w:rsid w:val="00866DD0"/>
    <w:rsid w:val="008670B4"/>
    <w:rsid w:val="00867C7D"/>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ABD"/>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C8"/>
    <w:rsid w:val="008B681F"/>
    <w:rsid w:val="008B68EC"/>
    <w:rsid w:val="008B68EE"/>
    <w:rsid w:val="008B6E5B"/>
    <w:rsid w:val="008B7AE4"/>
    <w:rsid w:val="008B7FC6"/>
    <w:rsid w:val="008C0067"/>
    <w:rsid w:val="008C03F4"/>
    <w:rsid w:val="008C08A0"/>
    <w:rsid w:val="008C0E9A"/>
    <w:rsid w:val="008C0EC8"/>
    <w:rsid w:val="008C1A4A"/>
    <w:rsid w:val="008C25C9"/>
    <w:rsid w:val="008C25D3"/>
    <w:rsid w:val="008C2767"/>
    <w:rsid w:val="008C2C66"/>
    <w:rsid w:val="008C38A5"/>
    <w:rsid w:val="008C4452"/>
    <w:rsid w:val="008C4638"/>
    <w:rsid w:val="008C48DF"/>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E0F48"/>
    <w:rsid w:val="008E15DA"/>
    <w:rsid w:val="008E23C1"/>
    <w:rsid w:val="008E2DE3"/>
    <w:rsid w:val="008E2DEB"/>
    <w:rsid w:val="008E38D6"/>
    <w:rsid w:val="008E3E5D"/>
    <w:rsid w:val="008E422D"/>
    <w:rsid w:val="008E53A6"/>
    <w:rsid w:val="008E6D56"/>
    <w:rsid w:val="008E79AD"/>
    <w:rsid w:val="008E7A4C"/>
    <w:rsid w:val="008E7CB3"/>
    <w:rsid w:val="008F01E0"/>
    <w:rsid w:val="008F0202"/>
    <w:rsid w:val="008F0399"/>
    <w:rsid w:val="008F0B0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058E"/>
    <w:rsid w:val="00911EA4"/>
    <w:rsid w:val="00912273"/>
    <w:rsid w:val="009124BD"/>
    <w:rsid w:val="009124DB"/>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40982"/>
    <w:rsid w:val="00940B37"/>
    <w:rsid w:val="00941322"/>
    <w:rsid w:val="00941561"/>
    <w:rsid w:val="0094160E"/>
    <w:rsid w:val="00941BED"/>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E40"/>
    <w:rsid w:val="009614FF"/>
    <w:rsid w:val="00961D95"/>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1F2"/>
    <w:rsid w:val="009832D7"/>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F20"/>
    <w:rsid w:val="009A6F68"/>
    <w:rsid w:val="009A73CC"/>
    <w:rsid w:val="009A7470"/>
    <w:rsid w:val="009A7619"/>
    <w:rsid w:val="009A7D87"/>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6B3"/>
    <w:rsid w:val="00A5498B"/>
    <w:rsid w:val="00A553F2"/>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B14"/>
    <w:rsid w:val="00A71454"/>
    <w:rsid w:val="00A715D4"/>
    <w:rsid w:val="00A717A4"/>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0C86"/>
    <w:rsid w:val="00AD10FB"/>
    <w:rsid w:val="00AD163A"/>
    <w:rsid w:val="00AD194D"/>
    <w:rsid w:val="00AD1975"/>
    <w:rsid w:val="00AD1B9A"/>
    <w:rsid w:val="00AD2310"/>
    <w:rsid w:val="00AD2807"/>
    <w:rsid w:val="00AD299D"/>
    <w:rsid w:val="00AD3DAB"/>
    <w:rsid w:val="00AD48D9"/>
    <w:rsid w:val="00AD4CE5"/>
    <w:rsid w:val="00AD4EA8"/>
    <w:rsid w:val="00AD5252"/>
    <w:rsid w:val="00AD525F"/>
    <w:rsid w:val="00AD537F"/>
    <w:rsid w:val="00AD58F9"/>
    <w:rsid w:val="00AD6C90"/>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C3"/>
    <w:rsid w:val="00B32203"/>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F70"/>
    <w:rsid w:val="00B45261"/>
    <w:rsid w:val="00B45574"/>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493"/>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47A0"/>
    <w:rsid w:val="00B753F6"/>
    <w:rsid w:val="00B760A9"/>
    <w:rsid w:val="00B7643B"/>
    <w:rsid w:val="00B771D8"/>
    <w:rsid w:val="00B7796D"/>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DA"/>
    <w:rsid w:val="00C30689"/>
    <w:rsid w:val="00C3087B"/>
    <w:rsid w:val="00C30FC8"/>
    <w:rsid w:val="00C31EDB"/>
    <w:rsid w:val="00C31F19"/>
    <w:rsid w:val="00C3234D"/>
    <w:rsid w:val="00C325F2"/>
    <w:rsid w:val="00C32818"/>
    <w:rsid w:val="00C33C19"/>
    <w:rsid w:val="00C3439D"/>
    <w:rsid w:val="00C34E44"/>
    <w:rsid w:val="00C34EBA"/>
    <w:rsid w:val="00C3577D"/>
    <w:rsid w:val="00C35D1A"/>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577F"/>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48D"/>
    <w:rsid w:val="00CC19FF"/>
    <w:rsid w:val="00CC202B"/>
    <w:rsid w:val="00CC217D"/>
    <w:rsid w:val="00CC24E2"/>
    <w:rsid w:val="00CC2818"/>
    <w:rsid w:val="00CC290F"/>
    <w:rsid w:val="00CC314E"/>
    <w:rsid w:val="00CC3565"/>
    <w:rsid w:val="00CC3836"/>
    <w:rsid w:val="00CC3867"/>
    <w:rsid w:val="00CC4CCF"/>
    <w:rsid w:val="00CC4EB9"/>
    <w:rsid w:val="00CC55EB"/>
    <w:rsid w:val="00CC5746"/>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330"/>
    <w:rsid w:val="00DB28DF"/>
    <w:rsid w:val="00DB295C"/>
    <w:rsid w:val="00DB2FE2"/>
    <w:rsid w:val="00DB33E5"/>
    <w:rsid w:val="00DB41DB"/>
    <w:rsid w:val="00DB4B60"/>
    <w:rsid w:val="00DB4E5F"/>
    <w:rsid w:val="00DB4EE6"/>
    <w:rsid w:val="00DB501B"/>
    <w:rsid w:val="00DB5334"/>
    <w:rsid w:val="00DB61B0"/>
    <w:rsid w:val="00DB67A6"/>
    <w:rsid w:val="00DB68AE"/>
    <w:rsid w:val="00DB77A1"/>
    <w:rsid w:val="00DC0E82"/>
    <w:rsid w:val="00DC1689"/>
    <w:rsid w:val="00DC1836"/>
    <w:rsid w:val="00DC1DB6"/>
    <w:rsid w:val="00DC1DE5"/>
    <w:rsid w:val="00DC1EBC"/>
    <w:rsid w:val="00DC24C7"/>
    <w:rsid w:val="00DC2D1E"/>
    <w:rsid w:val="00DC3A64"/>
    <w:rsid w:val="00DC3DE1"/>
    <w:rsid w:val="00DC4828"/>
    <w:rsid w:val="00DC4ECC"/>
    <w:rsid w:val="00DC5244"/>
    <w:rsid w:val="00DC527A"/>
    <w:rsid w:val="00DC5B9F"/>
    <w:rsid w:val="00DC5EA2"/>
    <w:rsid w:val="00DC6968"/>
    <w:rsid w:val="00DC6CA3"/>
    <w:rsid w:val="00DC6E3B"/>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F41"/>
    <w:rsid w:val="00E06FED"/>
    <w:rsid w:val="00E07C16"/>
    <w:rsid w:val="00E07C3F"/>
    <w:rsid w:val="00E10739"/>
    <w:rsid w:val="00E1169B"/>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3047A"/>
    <w:rsid w:val="00E30C34"/>
    <w:rsid w:val="00E30D5D"/>
    <w:rsid w:val="00E30EDA"/>
    <w:rsid w:val="00E31028"/>
    <w:rsid w:val="00E314FD"/>
    <w:rsid w:val="00E31631"/>
    <w:rsid w:val="00E31A75"/>
    <w:rsid w:val="00E31D50"/>
    <w:rsid w:val="00E3203C"/>
    <w:rsid w:val="00E3223C"/>
    <w:rsid w:val="00E3233A"/>
    <w:rsid w:val="00E326A7"/>
    <w:rsid w:val="00E334AF"/>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6CEB"/>
    <w:rsid w:val="00EB728E"/>
    <w:rsid w:val="00EB7394"/>
    <w:rsid w:val="00EB7737"/>
    <w:rsid w:val="00EB7B2C"/>
    <w:rsid w:val="00EC0C40"/>
    <w:rsid w:val="00EC0F96"/>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2A9"/>
    <w:rsid w:val="00EE3318"/>
    <w:rsid w:val="00EE37B9"/>
    <w:rsid w:val="00EE4921"/>
    <w:rsid w:val="00EE4963"/>
    <w:rsid w:val="00EE4DFB"/>
    <w:rsid w:val="00EE57EE"/>
    <w:rsid w:val="00EE5DA6"/>
    <w:rsid w:val="00EE5E71"/>
    <w:rsid w:val="00EE5F76"/>
    <w:rsid w:val="00EE611D"/>
    <w:rsid w:val="00EE6547"/>
    <w:rsid w:val="00EE67B7"/>
    <w:rsid w:val="00EE67BF"/>
    <w:rsid w:val="00EE7102"/>
    <w:rsid w:val="00EE7289"/>
    <w:rsid w:val="00EF0692"/>
    <w:rsid w:val="00EF0CE1"/>
    <w:rsid w:val="00EF16B0"/>
    <w:rsid w:val="00EF1B34"/>
    <w:rsid w:val="00EF227B"/>
    <w:rsid w:val="00EF2634"/>
    <w:rsid w:val="00EF380C"/>
    <w:rsid w:val="00EF3F7F"/>
    <w:rsid w:val="00EF44E9"/>
    <w:rsid w:val="00EF44FE"/>
    <w:rsid w:val="00EF58B3"/>
    <w:rsid w:val="00EF76B1"/>
    <w:rsid w:val="00EF79F9"/>
    <w:rsid w:val="00EF7C60"/>
    <w:rsid w:val="00F00092"/>
    <w:rsid w:val="00F0029C"/>
    <w:rsid w:val="00F006FC"/>
    <w:rsid w:val="00F0086D"/>
    <w:rsid w:val="00F00998"/>
    <w:rsid w:val="00F00B58"/>
    <w:rsid w:val="00F00B66"/>
    <w:rsid w:val="00F011D4"/>
    <w:rsid w:val="00F01392"/>
    <w:rsid w:val="00F015F3"/>
    <w:rsid w:val="00F01B4E"/>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41D9"/>
    <w:rsid w:val="00F2560A"/>
    <w:rsid w:val="00F2605F"/>
    <w:rsid w:val="00F26065"/>
    <w:rsid w:val="00F26174"/>
    <w:rsid w:val="00F26DE2"/>
    <w:rsid w:val="00F26E10"/>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FB"/>
    <w:rsid w:val="00F3444E"/>
    <w:rsid w:val="00F34775"/>
    <w:rsid w:val="00F34A57"/>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408D"/>
    <w:rsid w:val="00F540C3"/>
    <w:rsid w:val="00F55305"/>
    <w:rsid w:val="00F55EE4"/>
    <w:rsid w:val="00F56007"/>
    <w:rsid w:val="00F56835"/>
    <w:rsid w:val="00F5749F"/>
    <w:rsid w:val="00F5756A"/>
    <w:rsid w:val="00F606AC"/>
    <w:rsid w:val="00F60CB3"/>
    <w:rsid w:val="00F60CFE"/>
    <w:rsid w:val="00F613BF"/>
    <w:rsid w:val="00F613CD"/>
    <w:rsid w:val="00F61760"/>
    <w:rsid w:val="00F61BF8"/>
    <w:rsid w:val="00F61CC2"/>
    <w:rsid w:val="00F62279"/>
    <w:rsid w:val="00F626FD"/>
    <w:rsid w:val="00F62987"/>
    <w:rsid w:val="00F62A39"/>
    <w:rsid w:val="00F62E02"/>
    <w:rsid w:val="00F632E5"/>
    <w:rsid w:val="00F63C24"/>
    <w:rsid w:val="00F63C34"/>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DEE"/>
    <w:rsid w:val="00FA223B"/>
    <w:rsid w:val="00FA251B"/>
    <w:rsid w:val="00FA3553"/>
    <w:rsid w:val="00FA3575"/>
    <w:rsid w:val="00FA3EDF"/>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F19"/>
    <w:rsid w:val="00FD1F52"/>
    <w:rsid w:val="00FD2132"/>
    <w:rsid w:val="00FD225B"/>
    <w:rsid w:val="00FD326C"/>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7479E-F72B-4448-8A86-268C30DAD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2048</Words>
  <Characters>11676</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4</cp:revision>
  <cp:lastPrinted>2013-10-30T13:46:00Z</cp:lastPrinted>
  <dcterms:created xsi:type="dcterms:W3CDTF">2024-05-10T00:42:00Z</dcterms:created>
  <dcterms:modified xsi:type="dcterms:W3CDTF">2024-05-10T00:45:00Z</dcterms:modified>
</cp:coreProperties>
</file>